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EDA" w14:textId="77777777" w:rsidR="00894A0F" w:rsidRDefault="00894A0F" w:rsidP="00D739BF">
      <w:pPr>
        <w:pStyle w:val="Sinespaciado"/>
        <w:spacing w:line="276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</w:pPr>
    </w:p>
    <w:p w14:paraId="5D31F6CD" w14:textId="77777777" w:rsidR="00894A0F" w:rsidRDefault="00894A0F" w:rsidP="00D739BF">
      <w:pPr>
        <w:pStyle w:val="Sinespaciado"/>
        <w:spacing w:line="276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</w:pPr>
    </w:p>
    <w:p w14:paraId="54129554" w14:textId="6481A8B4" w:rsidR="00D739BF" w:rsidRDefault="00D739BF" w:rsidP="00D739B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  <w:r w:rsidRPr="00D739BF"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>PROTOCOLO DE REGISTRO Y REPORTE DE REACCIÓN O EVENTOS ADVERSOS A MEDICAMENTOS</w:t>
      </w:r>
    </w:p>
    <w:p w14:paraId="67F7A7E8" w14:textId="77777777" w:rsidR="00D739BF" w:rsidRDefault="00D739BF" w:rsidP="00D739B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22F15ACE" w14:textId="77777777" w:rsidR="00D739BF" w:rsidRDefault="00D739BF" w:rsidP="00D739B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20355D6A" w14:textId="77777777" w:rsidR="00D739BF" w:rsidRDefault="00D739BF" w:rsidP="00D739B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3A4D7769" w14:textId="2B99FFEA" w:rsidR="00D739BF" w:rsidRDefault="00D739BF" w:rsidP="00D739B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DFB7B57" w14:textId="77777777" w:rsidR="00894A0F" w:rsidRDefault="00894A0F" w:rsidP="00D739B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8EAD10F" w14:textId="77777777" w:rsidR="00D739BF" w:rsidRDefault="00D739BF" w:rsidP="00D739BF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79148276" w14:textId="77777777" w:rsidR="00894A0F" w:rsidRPr="00526A49" w:rsidRDefault="00894A0F" w:rsidP="00894A0F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676"/>
      <w:r w:rsidRPr="00526A49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02FC74EE" w14:textId="77777777" w:rsidR="00475255" w:rsidRPr="004F2E23" w:rsidRDefault="00475255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A1E76B3" w14:textId="423A5FCF" w:rsidR="00D739BF" w:rsidRDefault="00D739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5949094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19BCC9" w14:textId="34BEAB36" w:rsidR="00D739BF" w:rsidRPr="00D739BF" w:rsidRDefault="00D739BF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D739BF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052FD23F" w14:textId="6CBE79D1" w:rsidR="00D739BF" w:rsidRPr="00D739BF" w:rsidRDefault="00D739BF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r w:rsidRPr="00D739BF">
            <w:rPr>
              <w:rFonts w:cstheme="minorHAnsi"/>
            </w:rPr>
            <w:fldChar w:fldCharType="begin"/>
          </w:r>
          <w:r w:rsidRPr="00D739BF">
            <w:rPr>
              <w:rFonts w:cstheme="minorHAnsi"/>
            </w:rPr>
            <w:instrText xml:space="preserve"> TOC \o "1-3" \h \z \u </w:instrText>
          </w:r>
          <w:r w:rsidRPr="00D739BF">
            <w:rPr>
              <w:rFonts w:cstheme="minorHAnsi"/>
            </w:rPr>
            <w:fldChar w:fldCharType="separate"/>
          </w:r>
          <w:hyperlink w:anchor="_Toc78974939" w:history="1">
            <w:r w:rsidRPr="00D739BF">
              <w:rPr>
                <w:rStyle w:val="Hipervnculo"/>
                <w:rFonts w:cstheme="minorHAnsi"/>
                <w:noProof/>
                <w:color w:val="auto"/>
              </w:rPr>
              <w:t>1.</w:t>
            </w:r>
            <w:r w:rsidRPr="00D739BF">
              <w:rPr>
                <w:rFonts w:eastAsiaTheme="minorEastAsia" w:cstheme="minorHAnsi"/>
                <w:noProof/>
                <w:lang w:eastAsia="es-CO"/>
              </w:rPr>
              <w:tab/>
            </w:r>
            <w:r w:rsidRPr="00D739BF">
              <w:rPr>
                <w:rStyle w:val="Hipervnculo"/>
                <w:rFonts w:cstheme="minorHAnsi"/>
                <w:noProof/>
                <w:color w:val="auto"/>
              </w:rPr>
              <w:t>OBJETIVO</w:t>
            </w:r>
            <w:r w:rsidRPr="00D739BF">
              <w:rPr>
                <w:rFonts w:cstheme="minorHAnsi"/>
                <w:noProof/>
                <w:webHidden/>
              </w:rPr>
              <w:tab/>
            </w:r>
            <w:r w:rsidRPr="00D739BF">
              <w:rPr>
                <w:rFonts w:cstheme="minorHAnsi"/>
                <w:noProof/>
                <w:webHidden/>
              </w:rPr>
              <w:fldChar w:fldCharType="begin"/>
            </w:r>
            <w:r w:rsidRPr="00D739BF">
              <w:rPr>
                <w:rFonts w:cstheme="minorHAnsi"/>
                <w:noProof/>
                <w:webHidden/>
              </w:rPr>
              <w:instrText xml:space="preserve"> PAGEREF _Toc78974939 \h </w:instrText>
            </w:r>
            <w:r w:rsidRPr="00D739BF">
              <w:rPr>
                <w:rFonts w:cstheme="minorHAnsi"/>
                <w:noProof/>
                <w:webHidden/>
              </w:rPr>
            </w:r>
            <w:r w:rsidRPr="00D739BF">
              <w:rPr>
                <w:rFonts w:cstheme="minorHAnsi"/>
                <w:noProof/>
                <w:webHidden/>
              </w:rPr>
              <w:fldChar w:fldCharType="separate"/>
            </w:r>
            <w:r w:rsidRPr="00D739BF">
              <w:rPr>
                <w:rFonts w:cstheme="minorHAnsi"/>
                <w:noProof/>
                <w:webHidden/>
              </w:rPr>
              <w:t>3</w:t>
            </w:r>
            <w:r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6A176C2" w14:textId="6CE37701" w:rsidR="00D739BF" w:rsidRPr="00D739BF" w:rsidRDefault="00AC6CF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hyperlink w:anchor="_Toc78974940" w:history="1"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2.</w:t>
            </w:r>
            <w:r w:rsidR="00D739BF" w:rsidRPr="00D739BF">
              <w:rPr>
                <w:rFonts w:eastAsiaTheme="minorEastAsia" w:cstheme="minorHAnsi"/>
                <w:noProof/>
                <w:lang w:eastAsia="es-CO"/>
              </w:rPr>
              <w:tab/>
            </w:r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ALCANCE</w:t>
            </w:r>
            <w:r w:rsidR="00D739BF" w:rsidRPr="00D739BF">
              <w:rPr>
                <w:rFonts w:cstheme="minorHAnsi"/>
                <w:noProof/>
                <w:webHidden/>
              </w:rPr>
              <w:tab/>
            </w:r>
            <w:r w:rsidR="00D739BF" w:rsidRPr="00D739BF">
              <w:rPr>
                <w:rFonts w:cstheme="minorHAnsi"/>
                <w:noProof/>
                <w:webHidden/>
              </w:rPr>
              <w:fldChar w:fldCharType="begin"/>
            </w:r>
            <w:r w:rsidR="00D739BF" w:rsidRPr="00D739BF">
              <w:rPr>
                <w:rFonts w:cstheme="minorHAnsi"/>
                <w:noProof/>
                <w:webHidden/>
              </w:rPr>
              <w:instrText xml:space="preserve"> PAGEREF _Toc78974940 \h </w:instrText>
            </w:r>
            <w:r w:rsidR="00D739BF" w:rsidRPr="00D739BF">
              <w:rPr>
                <w:rFonts w:cstheme="minorHAnsi"/>
                <w:noProof/>
                <w:webHidden/>
              </w:rPr>
            </w:r>
            <w:r w:rsidR="00D739BF" w:rsidRPr="00D739BF">
              <w:rPr>
                <w:rFonts w:cstheme="minorHAnsi"/>
                <w:noProof/>
                <w:webHidden/>
              </w:rPr>
              <w:fldChar w:fldCharType="separate"/>
            </w:r>
            <w:r w:rsidR="00D739BF" w:rsidRPr="00D739BF">
              <w:rPr>
                <w:rFonts w:cstheme="minorHAnsi"/>
                <w:noProof/>
                <w:webHidden/>
              </w:rPr>
              <w:t>3</w:t>
            </w:r>
            <w:r w:rsidR="00D739BF"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B55A8F9" w14:textId="67C4CAE9" w:rsidR="00D739BF" w:rsidRPr="00D739BF" w:rsidRDefault="00AC6CF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hyperlink w:anchor="_Toc78974941" w:history="1"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3.</w:t>
            </w:r>
            <w:r w:rsidR="00D739BF" w:rsidRPr="00D739BF">
              <w:rPr>
                <w:rFonts w:eastAsiaTheme="minorEastAsia" w:cstheme="minorHAnsi"/>
                <w:noProof/>
                <w:lang w:eastAsia="es-CO"/>
              </w:rPr>
              <w:tab/>
            </w:r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DEFINICIONES:</w:t>
            </w:r>
            <w:r w:rsidR="00D739BF" w:rsidRPr="00D739BF">
              <w:rPr>
                <w:rFonts w:cstheme="minorHAnsi"/>
                <w:noProof/>
                <w:webHidden/>
              </w:rPr>
              <w:tab/>
            </w:r>
            <w:r w:rsidR="00D739BF" w:rsidRPr="00D739BF">
              <w:rPr>
                <w:rFonts w:cstheme="minorHAnsi"/>
                <w:noProof/>
                <w:webHidden/>
              </w:rPr>
              <w:fldChar w:fldCharType="begin"/>
            </w:r>
            <w:r w:rsidR="00D739BF" w:rsidRPr="00D739BF">
              <w:rPr>
                <w:rFonts w:cstheme="minorHAnsi"/>
                <w:noProof/>
                <w:webHidden/>
              </w:rPr>
              <w:instrText xml:space="preserve"> PAGEREF _Toc78974941 \h </w:instrText>
            </w:r>
            <w:r w:rsidR="00D739BF" w:rsidRPr="00D739BF">
              <w:rPr>
                <w:rFonts w:cstheme="minorHAnsi"/>
                <w:noProof/>
                <w:webHidden/>
              </w:rPr>
            </w:r>
            <w:r w:rsidR="00D739BF" w:rsidRPr="00D739BF">
              <w:rPr>
                <w:rFonts w:cstheme="minorHAnsi"/>
                <w:noProof/>
                <w:webHidden/>
              </w:rPr>
              <w:fldChar w:fldCharType="separate"/>
            </w:r>
            <w:r w:rsidR="00D739BF" w:rsidRPr="00D739BF">
              <w:rPr>
                <w:rFonts w:cstheme="minorHAnsi"/>
                <w:noProof/>
                <w:webHidden/>
              </w:rPr>
              <w:t>3</w:t>
            </w:r>
            <w:r w:rsidR="00D739BF"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04030A6" w14:textId="482ADC3C" w:rsidR="00D739BF" w:rsidRPr="00D739BF" w:rsidRDefault="00AC6CF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hyperlink w:anchor="_Toc78974942" w:history="1"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4.</w:t>
            </w:r>
            <w:r w:rsidR="00D739BF" w:rsidRPr="00D739BF">
              <w:rPr>
                <w:rFonts w:eastAsiaTheme="minorEastAsia" w:cstheme="minorHAnsi"/>
                <w:noProof/>
                <w:lang w:eastAsia="es-CO"/>
              </w:rPr>
              <w:tab/>
            </w:r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CONDICIONES GENERALES</w:t>
            </w:r>
            <w:r w:rsidR="00D739BF" w:rsidRPr="00D739BF">
              <w:rPr>
                <w:rFonts w:cstheme="minorHAnsi"/>
                <w:noProof/>
                <w:webHidden/>
              </w:rPr>
              <w:tab/>
            </w:r>
            <w:r w:rsidR="00D739BF" w:rsidRPr="00D739BF">
              <w:rPr>
                <w:rFonts w:cstheme="minorHAnsi"/>
                <w:noProof/>
                <w:webHidden/>
              </w:rPr>
              <w:fldChar w:fldCharType="begin"/>
            </w:r>
            <w:r w:rsidR="00D739BF" w:rsidRPr="00D739BF">
              <w:rPr>
                <w:rFonts w:cstheme="minorHAnsi"/>
                <w:noProof/>
                <w:webHidden/>
              </w:rPr>
              <w:instrText xml:space="preserve"> PAGEREF _Toc78974942 \h </w:instrText>
            </w:r>
            <w:r w:rsidR="00D739BF" w:rsidRPr="00D739BF">
              <w:rPr>
                <w:rFonts w:cstheme="minorHAnsi"/>
                <w:noProof/>
                <w:webHidden/>
              </w:rPr>
            </w:r>
            <w:r w:rsidR="00D739BF" w:rsidRPr="00D739BF">
              <w:rPr>
                <w:rFonts w:cstheme="minorHAnsi"/>
                <w:noProof/>
                <w:webHidden/>
              </w:rPr>
              <w:fldChar w:fldCharType="separate"/>
            </w:r>
            <w:r w:rsidR="00D739BF" w:rsidRPr="00D739BF">
              <w:rPr>
                <w:rFonts w:cstheme="minorHAnsi"/>
                <w:noProof/>
                <w:webHidden/>
              </w:rPr>
              <w:t>4</w:t>
            </w:r>
            <w:r w:rsidR="00D739BF"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9972221" w14:textId="5A1A4F3D" w:rsidR="00D739BF" w:rsidRPr="00D739BF" w:rsidRDefault="00AC6CF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hyperlink w:anchor="_Toc78974943" w:history="1"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5.</w:t>
            </w:r>
            <w:r w:rsidR="00D739BF" w:rsidRPr="00D739BF">
              <w:rPr>
                <w:rFonts w:eastAsiaTheme="minorEastAsia" w:cstheme="minorHAnsi"/>
                <w:noProof/>
                <w:lang w:eastAsia="es-CO"/>
              </w:rPr>
              <w:tab/>
            </w:r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RESPONSABLES</w:t>
            </w:r>
            <w:r w:rsidR="00D739BF" w:rsidRPr="00D739BF">
              <w:rPr>
                <w:rFonts w:cstheme="minorHAnsi"/>
                <w:noProof/>
                <w:webHidden/>
              </w:rPr>
              <w:tab/>
            </w:r>
            <w:r w:rsidR="00D739BF" w:rsidRPr="00D739BF">
              <w:rPr>
                <w:rFonts w:cstheme="minorHAnsi"/>
                <w:noProof/>
                <w:webHidden/>
              </w:rPr>
              <w:fldChar w:fldCharType="begin"/>
            </w:r>
            <w:r w:rsidR="00D739BF" w:rsidRPr="00D739BF">
              <w:rPr>
                <w:rFonts w:cstheme="minorHAnsi"/>
                <w:noProof/>
                <w:webHidden/>
              </w:rPr>
              <w:instrText xml:space="preserve"> PAGEREF _Toc78974943 \h </w:instrText>
            </w:r>
            <w:r w:rsidR="00D739BF" w:rsidRPr="00D739BF">
              <w:rPr>
                <w:rFonts w:cstheme="minorHAnsi"/>
                <w:noProof/>
                <w:webHidden/>
              </w:rPr>
            </w:r>
            <w:r w:rsidR="00D739BF" w:rsidRPr="00D739BF">
              <w:rPr>
                <w:rFonts w:cstheme="minorHAnsi"/>
                <w:noProof/>
                <w:webHidden/>
              </w:rPr>
              <w:fldChar w:fldCharType="separate"/>
            </w:r>
            <w:r w:rsidR="00D739BF" w:rsidRPr="00D739BF">
              <w:rPr>
                <w:rFonts w:cstheme="minorHAnsi"/>
                <w:noProof/>
                <w:webHidden/>
              </w:rPr>
              <w:t>4</w:t>
            </w:r>
            <w:r w:rsidR="00D739BF"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6050CF4" w14:textId="2928050A" w:rsidR="00D739BF" w:rsidRPr="00D739BF" w:rsidRDefault="00AC6CF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hyperlink w:anchor="_Toc78974944" w:history="1"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6.</w:t>
            </w:r>
            <w:r w:rsidR="00D739BF" w:rsidRPr="00D739BF">
              <w:rPr>
                <w:rFonts w:eastAsiaTheme="minorEastAsia" w:cstheme="minorHAnsi"/>
                <w:noProof/>
                <w:lang w:eastAsia="es-CO"/>
              </w:rPr>
              <w:tab/>
            </w:r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DESARROLLO</w:t>
            </w:r>
            <w:r w:rsidR="00D739BF" w:rsidRPr="00D739BF">
              <w:rPr>
                <w:rFonts w:cstheme="minorHAnsi"/>
                <w:noProof/>
                <w:webHidden/>
              </w:rPr>
              <w:tab/>
            </w:r>
            <w:r w:rsidR="00D739BF" w:rsidRPr="00D739BF">
              <w:rPr>
                <w:rFonts w:cstheme="minorHAnsi"/>
                <w:noProof/>
                <w:webHidden/>
              </w:rPr>
              <w:fldChar w:fldCharType="begin"/>
            </w:r>
            <w:r w:rsidR="00D739BF" w:rsidRPr="00D739BF">
              <w:rPr>
                <w:rFonts w:cstheme="minorHAnsi"/>
                <w:noProof/>
                <w:webHidden/>
              </w:rPr>
              <w:instrText xml:space="preserve"> PAGEREF _Toc78974944 \h </w:instrText>
            </w:r>
            <w:r w:rsidR="00D739BF" w:rsidRPr="00D739BF">
              <w:rPr>
                <w:rFonts w:cstheme="minorHAnsi"/>
                <w:noProof/>
                <w:webHidden/>
              </w:rPr>
            </w:r>
            <w:r w:rsidR="00D739BF" w:rsidRPr="00D739BF">
              <w:rPr>
                <w:rFonts w:cstheme="minorHAnsi"/>
                <w:noProof/>
                <w:webHidden/>
              </w:rPr>
              <w:fldChar w:fldCharType="separate"/>
            </w:r>
            <w:r w:rsidR="00D739BF" w:rsidRPr="00D739BF">
              <w:rPr>
                <w:rFonts w:cstheme="minorHAnsi"/>
                <w:noProof/>
                <w:webHidden/>
              </w:rPr>
              <w:t>5</w:t>
            </w:r>
            <w:r w:rsidR="00D739BF"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CEB2A0" w14:textId="0FEC63F5" w:rsidR="00D739BF" w:rsidRPr="00D739BF" w:rsidRDefault="00AC6CF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hyperlink w:anchor="_Toc78974945" w:history="1"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7.</w:t>
            </w:r>
            <w:r w:rsidR="00D739BF" w:rsidRPr="00D739BF">
              <w:rPr>
                <w:rFonts w:eastAsiaTheme="minorEastAsia" w:cstheme="minorHAnsi"/>
                <w:noProof/>
                <w:lang w:eastAsia="es-CO"/>
              </w:rPr>
              <w:tab/>
            </w:r>
            <w:r w:rsidR="00D739BF" w:rsidRPr="00D739BF">
              <w:rPr>
                <w:rStyle w:val="Hipervnculo"/>
                <w:rFonts w:cstheme="minorHAnsi"/>
                <w:noProof/>
                <w:color w:val="auto"/>
              </w:rPr>
              <w:t>DOCUMENTOS DE REFERENCIA</w:t>
            </w:r>
            <w:r w:rsidR="00D739BF" w:rsidRPr="00D739BF">
              <w:rPr>
                <w:rFonts w:cstheme="minorHAnsi"/>
                <w:noProof/>
                <w:webHidden/>
              </w:rPr>
              <w:tab/>
            </w:r>
            <w:r w:rsidR="00D739BF" w:rsidRPr="00D739BF">
              <w:rPr>
                <w:rFonts w:cstheme="minorHAnsi"/>
                <w:noProof/>
                <w:webHidden/>
              </w:rPr>
              <w:fldChar w:fldCharType="begin"/>
            </w:r>
            <w:r w:rsidR="00D739BF" w:rsidRPr="00D739BF">
              <w:rPr>
                <w:rFonts w:cstheme="minorHAnsi"/>
                <w:noProof/>
                <w:webHidden/>
              </w:rPr>
              <w:instrText xml:space="preserve"> PAGEREF _Toc78974945 \h </w:instrText>
            </w:r>
            <w:r w:rsidR="00D739BF" w:rsidRPr="00D739BF">
              <w:rPr>
                <w:rFonts w:cstheme="minorHAnsi"/>
                <w:noProof/>
                <w:webHidden/>
              </w:rPr>
            </w:r>
            <w:r w:rsidR="00D739BF" w:rsidRPr="00D739BF">
              <w:rPr>
                <w:rFonts w:cstheme="minorHAnsi"/>
                <w:noProof/>
                <w:webHidden/>
              </w:rPr>
              <w:fldChar w:fldCharType="separate"/>
            </w:r>
            <w:r w:rsidR="00D739BF" w:rsidRPr="00D739BF">
              <w:rPr>
                <w:rFonts w:cstheme="minorHAnsi"/>
                <w:noProof/>
                <w:webHidden/>
              </w:rPr>
              <w:t>7</w:t>
            </w:r>
            <w:r w:rsidR="00D739BF"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6A770A0" w14:textId="3DF4CBBF" w:rsidR="00D739BF" w:rsidRPr="00D739BF" w:rsidRDefault="00AC6CFE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lang w:eastAsia="es-CO"/>
            </w:rPr>
          </w:pPr>
          <w:hyperlink w:anchor="_Toc78974946" w:history="1">
            <w:r w:rsidR="00D739BF" w:rsidRPr="00D739BF">
              <w:rPr>
                <w:rStyle w:val="Hipervnculo"/>
                <w:rFonts w:eastAsia="Times New Roman" w:cstheme="minorHAnsi"/>
                <w:noProof/>
                <w:color w:val="auto"/>
                <w:lang w:eastAsia="es-CO"/>
              </w:rPr>
              <w:t>8. CONTROL DE CAMBIOS</w:t>
            </w:r>
            <w:r w:rsidR="00D739BF" w:rsidRPr="00D739BF">
              <w:rPr>
                <w:rFonts w:cstheme="minorHAnsi"/>
                <w:noProof/>
                <w:webHidden/>
              </w:rPr>
              <w:tab/>
            </w:r>
            <w:r w:rsidR="00D739BF" w:rsidRPr="00D739BF">
              <w:rPr>
                <w:rFonts w:cstheme="minorHAnsi"/>
                <w:noProof/>
                <w:webHidden/>
              </w:rPr>
              <w:fldChar w:fldCharType="begin"/>
            </w:r>
            <w:r w:rsidR="00D739BF" w:rsidRPr="00D739BF">
              <w:rPr>
                <w:rFonts w:cstheme="minorHAnsi"/>
                <w:noProof/>
                <w:webHidden/>
              </w:rPr>
              <w:instrText xml:space="preserve"> PAGEREF _Toc78974946 \h </w:instrText>
            </w:r>
            <w:r w:rsidR="00D739BF" w:rsidRPr="00D739BF">
              <w:rPr>
                <w:rFonts w:cstheme="minorHAnsi"/>
                <w:noProof/>
                <w:webHidden/>
              </w:rPr>
            </w:r>
            <w:r w:rsidR="00D739BF" w:rsidRPr="00D739BF">
              <w:rPr>
                <w:rFonts w:cstheme="minorHAnsi"/>
                <w:noProof/>
                <w:webHidden/>
              </w:rPr>
              <w:fldChar w:fldCharType="separate"/>
            </w:r>
            <w:r w:rsidR="00D739BF" w:rsidRPr="00D739BF">
              <w:rPr>
                <w:rFonts w:cstheme="minorHAnsi"/>
                <w:noProof/>
                <w:webHidden/>
              </w:rPr>
              <w:t>7</w:t>
            </w:r>
            <w:r w:rsidR="00D739BF" w:rsidRPr="00D739B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6C3799" w14:textId="7098956B" w:rsidR="00D739BF" w:rsidRDefault="00D739BF">
          <w:r w:rsidRPr="00D739BF">
            <w:rPr>
              <w:rFonts w:cstheme="minorHAnsi"/>
              <w:lang w:val="es-ES"/>
            </w:rPr>
            <w:fldChar w:fldCharType="end"/>
          </w:r>
        </w:p>
      </w:sdtContent>
    </w:sdt>
    <w:p w14:paraId="547A50BB" w14:textId="7377E92D" w:rsidR="0005533E" w:rsidRDefault="0005533E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A395BFB" w14:textId="658A971B" w:rsidR="00D739BF" w:rsidRDefault="00D739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84CDB6" w14:textId="77777777" w:rsidR="00C23326" w:rsidRPr="004F2E23" w:rsidRDefault="00C23326" w:rsidP="00D739BF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1" w:name="_Toc78974939"/>
      <w:r w:rsidRPr="004F2E23">
        <w:rPr>
          <w:b/>
          <w:sz w:val="24"/>
          <w:szCs w:val="24"/>
        </w:rPr>
        <w:lastRenderedPageBreak/>
        <w:t>1.</w:t>
      </w:r>
      <w:r w:rsidRPr="004F2E23">
        <w:rPr>
          <w:b/>
          <w:sz w:val="24"/>
          <w:szCs w:val="24"/>
        </w:rPr>
        <w:tab/>
        <w:t>OBJETIVO</w:t>
      </w:r>
      <w:bookmarkEnd w:id="1"/>
    </w:p>
    <w:p w14:paraId="694F2E33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sz w:val="24"/>
          <w:szCs w:val="24"/>
        </w:rPr>
        <w:t xml:space="preserve">Definir todas las actividades necesarias para la detección y registro de eventos adversos a medicamentos en la E. S.E Hospital Materno Infantil de Ciudadela Metropolitana de Soledad. </w:t>
      </w:r>
    </w:p>
    <w:p w14:paraId="76D138BC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37A737D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BAD7188" w14:textId="77777777" w:rsidR="00C23326" w:rsidRPr="004F2E23" w:rsidRDefault="00C23326" w:rsidP="00D739BF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2" w:name="_Toc78974940"/>
      <w:r w:rsidRPr="004F2E23">
        <w:rPr>
          <w:b/>
          <w:sz w:val="24"/>
          <w:szCs w:val="24"/>
        </w:rPr>
        <w:t>2.</w:t>
      </w:r>
      <w:r w:rsidRPr="004F2E23">
        <w:rPr>
          <w:b/>
          <w:sz w:val="24"/>
          <w:szCs w:val="24"/>
        </w:rPr>
        <w:tab/>
        <w:t>ALCANCE</w:t>
      </w:r>
      <w:bookmarkEnd w:id="2"/>
    </w:p>
    <w:p w14:paraId="020B0271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sz w:val="24"/>
          <w:szCs w:val="24"/>
        </w:rPr>
        <w:t xml:space="preserve">Inicia con la detección de la reacción o evento adverso a Medicamento y finaliza con la evaluación y seguimiento a las recomendaciones establecidas. </w:t>
      </w:r>
    </w:p>
    <w:p w14:paraId="7B694BBD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18B95B0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779ACFC" w14:textId="77777777" w:rsidR="00C23326" w:rsidRPr="004F2E23" w:rsidRDefault="00C23326" w:rsidP="00D739BF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3" w:name="_Toc78974941"/>
      <w:r w:rsidRPr="004F2E23">
        <w:rPr>
          <w:b/>
          <w:sz w:val="24"/>
          <w:szCs w:val="24"/>
        </w:rPr>
        <w:t>3.</w:t>
      </w:r>
      <w:r w:rsidRPr="004F2E23">
        <w:rPr>
          <w:b/>
          <w:sz w:val="24"/>
          <w:szCs w:val="24"/>
        </w:rPr>
        <w:tab/>
        <w:t>DEFINICIONES:</w:t>
      </w:r>
      <w:bookmarkEnd w:id="3"/>
    </w:p>
    <w:p w14:paraId="41C8BC7B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Medicamento:</w:t>
      </w:r>
      <w:r w:rsidRPr="004F2E23">
        <w:rPr>
          <w:sz w:val="24"/>
          <w:szCs w:val="24"/>
        </w:rPr>
        <w:t xml:space="preserve"> Es un producto </w:t>
      </w:r>
      <w:r w:rsidR="004F2E23" w:rsidRPr="004F2E23">
        <w:rPr>
          <w:sz w:val="24"/>
          <w:szCs w:val="24"/>
        </w:rPr>
        <w:t>farmacéutico utilizado</w:t>
      </w:r>
      <w:r w:rsidRPr="004F2E23">
        <w:rPr>
          <w:sz w:val="24"/>
          <w:szCs w:val="24"/>
        </w:rPr>
        <w:t xml:space="preserve"> en o sobre el cuerpo humano para la prevención, el diagnóstico o el tratamiento de enfermedades o para la modificación de funciones fisiológicas.</w:t>
      </w:r>
    </w:p>
    <w:p w14:paraId="4CF39DE3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8FCFA30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Farmacovigilancia:</w:t>
      </w:r>
      <w:r w:rsidRPr="004F2E23">
        <w:rPr>
          <w:sz w:val="24"/>
          <w:szCs w:val="24"/>
        </w:rPr>
        <w:t xml:space="preserve"> se define como la ciencia </w:t>
      </w:r>
      <w:r w:rsidR="004F2E23" w:rsidRPr="004F2E23">
        <w:rPr>
          <w:sz w:val="24"/>
          <w:szCs w:val="24"/>
        </w:rPr>
        <w:t>y las</w:t>
      </w:r>
      <w:r w:rsidRPr="004F2E23">
        <w:rPr>
          <w:sz w:val="24"/>
          <w:szCs w:val="24"/>
        </w:rPr>
        <w:t xml:space="preserve"> actividades relativas a la detección, evaluación, comprensión y prevención de los efectos adversos de los medicamentos o cualquier otro problema relacionado con ellos.</w:t>
      </w:r>
    </w:p>
    <w:p w14:paraId="5C16CC6B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1ACFB8F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 xml:space="preserve">Evento adverso a medicamentos: </w:t>
      </w:r>
      <w:r w:rsidRPr="004F2E23">
        <w:rPr>
          <w:sz w:val="24"/>
          <w:szCs w:val="24"/>
        </w:rPr>
        <w:t>Cualquier suceso medico desfavorable que pueda aparecer durante el tratamiento con un producto farmacéutico pero que no tiene necesariamente una relación causal con el tratamiento.</w:t>
      </w:r>
    </w:p>
    <w:p w14:paraId="143BA339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EF1885D" w14:textId="77777777" w:rsidR="00C23326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Evento adverso serio:</w:t>
      </w:r>
      <w:r w:rsidRPr="004F2E23">
        <w:rPr>
          <w:sz w:val="24"/>
          <w:szCs w:val="24"/>
        </w:rPr>
        <w:t xml:space="preserve"> Se considera serio un evento adverso cuando su desenlace es la muerte o una amenaza a la vida, o cuando genera o prolonga una hospitalización, causa discapacidad, interrupción del embarazo o malformaciones.</w:t>
      </w:r>
    </w:p>
    <w:p w14:paraId="23093CA4" w14:textId="77777777" w:rsidR="004F2E23" w:rsidRPr="004F2E23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46825C9" w14:textId="77777777" w:rsidR="00C23326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Evento adverso inesperado:</w:t>
      </w:r>
      <w:r w:rsidRPr="004F2E23">
        <w:rPr>
          <w:sz w:val="24"/>
          <w:szCs w:val="24"/>
        </w:rPr>
        <w:t xml:space="preserve"> Es aquel del cual no se tiene un conocimiento previo hasta la fecha de su ocurrencia por no haber sido consignado en la información de seguridad de un medicamento. </w:t>
      </w:r>
    </w:p>
    <w:p w14:paraId="1A7E716E" w14:textId="77777777" w:rsidR="004F2E23" w:rsidRPr="004F2E23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FD24187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Reacción adversa:</w:t>
      </w:r>
      <w:r w:rsidRPr="004F2E23">
        <w:rPr>
          <w:sz w:val="24"/>
          <w:szCs w:val="24"/>
        </w:rPr>
        <w:t xml:space="preserve"> Es un efecto nocivo y no intencionado a un medicamento (incluye medios de contraste radiológicos, vacunas y pruebas diagnósticas) que ocurren en el </w:t>
      </w:r>
      <w:r w:rsidRPr="004F2E23">
        <w:rPr>
          <w:sz w:val="24"/>
          <w:szCs w:val="24"/>
        </w:rPr>
        <w:lastRenderedPageBreak/>
        <w:t>hombre a dosis empleadas para el diagnóstico, la profilaxis o el tratamiento, se excluye por tanto la sobredosis, ya sean accidentales o con intención suicida.</w:t>
      </w:r>
    </w:p>
    <w:p w14:paraId="4028DD91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AC8D186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68EBF28" w14:textId="77777777" w:rsidR="00C23326" w:rsidRPr="004F2E23" w:rsidRDefault="00C23326" w:rsidP="00D739BF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4" w:name="_Toc78974942"/>
      <w:r w:rsidRPr="004F2E23">
        <w:rPr>
          <w:b/>
          <w:sz w:val="24"/>
          <w:szCs w:val="24"/>
        </w:rPr>
        <w:t>4.</w:t>
      </w:r>
      <w:r w:rsidRPr="004F2E23">
        <w:rPr>
          <w:b/>
          <w:sz w:val="24"/>
          <w:szCs w:val="24"/>
        </w:rPr>
        <w:tab/>
        <w:t>CONDICIONES GENERALES</w:t>
      </w:r>
      <w:bookmarkEnd w:id="4"/>
    </w:p>
    <w:p w14:paraId="39F77C5B" w14:textId="77777777" w:rsidR="00C23326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sz w:val="24"/>
          <w:szCs w:val="24"/>
        </w:rPr>
        <w:t>Todo el personal asistencial que detecte un Evento Adverso a Medicamento debe notificarlo inmediatamente.</w:t>
      </w:r>
    </w:p>
    <w:p w14:paraId="666A8752" w14:textId="77777777" w:rsidR="00C23326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sz w:val="24"/>
          <w:szCs w:val="24"/>
        </w:rPr>
        <w:t xml:space="preserve">La notificación de los eventos adversos deberá realizarse mensualmente a la Secretaria de Salud Departamental los primeros cinco días al evento. </w:t>
      </w:r>
    </w:p>
    <w:p w14:paraId="1FD653F2" w14:textId="77777777" w:rsidR="004F2E23" w:rsidRPr="004F2E23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C5F27C1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sz w:val="24"/>
          <w:szCs w:val="24"/>
        </w:rPr>
        <w:t xml:space="preserve">Si el evento adverso es severo remitir en un término máximo de 48 horas a la oficina de medicamentos de la Secretaria de Salud Departamental en los formatos de reporte de evento adverso a medicamentos. </w:t>
      </w:r>
    </w:p>
    <w:p w14:paraId="698503D5" w14:textId="77777777" w:rsidR="00C23326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EF0F1CC" w14:textId="77777777" w:rsidR="00894F27" w:rsidRPr="00293CD5" w:rsidRDefault="00894F27" w:rsidP="00894F27">
      <w:pPr>
        <w:pStyle w:val="Sinespaciado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eventos adversos de medicamentos deben ser presentados en comité de farmacia y terapéutica, por químico farmacéutico.</w:t>
      </w:r>
    </w:p>
    <w:p w14:paraId="6C78FCC4" w14:textId="77777777" w:rsidR="00894F27" w:rsidRPr="004F2E23" w:rsidRDefault="00894F27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885ED5A" w14:textId="77777777" w:rsidR="004F2E23" w:rsidRPr="004F2E23" w:rsidRDefault="004B1CDF" w:rsidP="004F2E23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de análisis de </w:t>
      </w:r>
      <w:r w:rsidRPr="004F2E23">
        <w:rPr>
          <w:sz w:val="24"/>
          <w:szCs w:val="24"/>
        </w:rPr>
        <w:t>Evento</w:t>
      </w:r>
      <w:r w:rsidR="004F2E23" w:rsidRPr="004F2E23">
        <w:rPr>
          <w:sz w:val="24"/>
          <w:szCs w:val="24"/>
        </w:rPr>
        <w:t xml:space="preserve"> Adverso a medicamentos y/o a Incidentes o eventos adversos a </w:t>
      </w:r>
      <w:r>
        <w:rPr>
          <w:sz w:val="24"/>
          <w:szCs w:val="24"/>
        </w:rPr>
        <w:t>medicamentos está conformado por</w:t>
      </w:r>
      <w:r w:rsidR="004F2E23" w:rsidRPr="004F2E23">
        <w:rPr>
          <w:sz w:val="24"/>
          <w:szCs w:val="24"/>
        </w:rPr>
        <w:t xml:space="preserve">: Coordinador médico del centro y del servicio donde ocurre el evento y/o la enfermera jefe, el químico farmacéutico, medico auditor designado por Subgerencia Científica. </w:t>
      </w:r>
    </w:p>
    <w:p w14:paraId="44EF832A" w14:textId="77777777" w:rsidR="00C23326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387CAA2" w14:textId="77777777" w:rsidR="004F2E23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D2034E8" w14:textId="77777777" w:rsidR="00C23326" w:rsidRPr="004F2E23" w:rsidRDefault="00C23326" w:rsidP="00D739BF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5" w:name="_Toc78974943"/>
      <w:r w:rsidRPr="004F2E23">
        <w:rPr>
          <w:b/>
          <w:sz w:val="24"/>
          <w:szCs w:val="24"/>
        </w:rPr>
        <w:t>5.</w:t>
      </w:r>
      <w:r w:rsidRPr="004F2E23">
        <w:rPr>
          <w:b/>
          <w:sz w:val="24"/>
          <w:szCs w:val="24"/>
        </w:rPr>
        <w:tab/>
        <w:t>RESPONSABLES</w:t>
      </w:r>
      <w:bookmarkEnd w:id="5"/>
    </w:p>
    <w:p w14:paraId="4F8F9936" w14:textId="77777777" w:rsidR="004F2E23" w:rsidRPr="0061479F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 xml:space="preserve">Líder de procedimiento: Sub Gerente Científico </w:t>
      </w:r>
    </w:p>
    <w:p w14:paraId="52F595F7" w14:textId="77777777" w:rsidR="004F2E23" w:rsidRPr="0061479F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1.</w:t>
      </w:r>
      <w:r w:rsidRPr="0061479F">
        <w:rPr>
          <w:sz w:val="24"/>
          <w:szCs w:val="24"/>
        </w:rPr>
        <w:tab/>
        <w:t>Químico farmacéutico.</w:t>
      </w:r>
    </w:p>
    <w:p w14:paraId="32870D68" w14:textId="77777777" w:rsidR="004F2E23" w:rsidRPr="0061479F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2.</w:t>
      </w:r>
      <w:r w:rsidRPr="0061479F">
        <w:rPr>
          <w:sz w:val="24"/>
          <w:szCs w:val="24"/>
        </w:rPr>
        <w:tab/>
        <w:t>Regente del Servicio Farmacéutico.</w:t>
      </w:r>
    </w:p>
    <w:p w14:paraId="021A1F1C" w14:textId="77777777" w:rsidR="004F2E23" w:rsidRPr="0061479F" w:rsidRDefault="004F2E23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3.</w:t>
      </w:r>
      <w:r w:rsidRPr="0061479F">
        <w:rPr>
          <w:sz w:val="24"/>
          <w:szCs w:val="24"/>
        </w:rPr>
        <w:tab/>
      </w:r>
      <w:r w:rsidRPr="004F2E23">
        <w:rPr>
          <w:sz w:val="24"/>
          <w:szCs w:val="24"/>
        </w:rPr>
        <w:t>Personal Asistencial de la Institución.</w:t>
      </w:r>
    </w:p>
    <w:p w14:paraId="3F281DDC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C9D8BF6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6EF4684" w14:textId="3B8BCECB" w:rsidR="00C23326" w:rsidRDefault="00C23326" w:rsidP="00D739BF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6" w:name="_Toc78974944"/>
      <w:r w:rsidRPr="004F2E23">
        <w:rPr>
          <w:b/>
          <w:sz w:val="24"/>
          <w:szCs w:val="24"/>
        </w:rPr>
        <w:t>6.</w:t>
      </w:r>
      <w:r w:rsidRPr="004F2E23">
        <w:rPr>
          <w:b/>
          <w:sz w:val="24"/>
          <w:szCs w:val="24"/>
        </w:rPr>
        <w:tab/>
        <w:t>DESARROLLO</w:t>
      </w:r>
      <w:bookmarkEnd w:id="6"/>
    </w:p>
    <w:p w14:paraId="7D890DF2" w14:textId="77777777" w:rsidR="00D739BF" w:rsidRPr="004F2E23" w:rsidRDefault="00D739BF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726"/>
        <w:gridCol w:w="4155"/>
        <w:gridCol w:w="2668"/>
        <w:gridCol w:w="2516"/>
      </w:tblGrid>
      <w:tr w:rsidR="00C23326" w:rsidRPr="004F2E23" w14:paraId="0288021A" w14:textId="77777777" w:rsidTr="003D4A45">
        <w:tc>
          <w:tcPr>
            <w:tcW w:w="726" w:type="dxa"/>
            <w:vAlign w:val="center"/>
          </w:tcPr>
          <w:p w14:paraId="34711EC7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2E23">
              <w:rPr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155" w:type="dxa"/>
            <w:vAlign w:val="center"/>
          </w:tcPr>
          <w:p w14:paraId="72B6968D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2E23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668" w:type="dxa"/>
            <w:vAlign w:val="center"/>
          </w:tcPr>
          <w:p w14:paraId="61BA8C64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2E23">
              <w:rPr>
                <w:b/>
                <w:sz w:val="24"/>
                <w:szCs w:val="24"/>
              </w:rPr>
              <w:t>RESPONNSABLE</w:t>
            </w:r>
          </w:p>
        </w:tc>
        <w:tc>
          <w:tcPr>
            <w:tcW w:w="2516" w:type="dxa"/>
            <w:vAlign w:val="center"/>
          </w:tcPr>
          <w:p w14:paraId="4CA8CB31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2E23">
              <w:rPr>
                <w:b/>
                <w:sz w:val="24"/>
                <w:szCs w:val="24"/>
              </w:rPr>
              <w:t>DOCUMENTO Y/O REGISTRO</w:t>
            </w:r>
          </w:p>
        </w:tc>
      </w:tr>
      <w:tr w:rsidR="00C23326" w:rsidRPr="004F2E23" w14:paraId="60EA0E77" w14:textId="77777777" w:rsidTr="003D4A45">
        <w:tc>
          <w:tcPr>
            <w:tcW w:w="726" w:type="dxa"/>
            <w:vAlign w:val="center"/>
          </w:tcPr>
          <w:p w14:paraId="36C5571E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14:paraId="4BABF22A" w14:textId="77777777" w:rsidR="00C23326" w:rsidRPr="004F2E23" w:rsidRDefault="00C23326" w:rsidP="003D4A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 xml:space="preserve">Constatar que el inicio del evento adverso tuvo </w:t>
            </w:r>
            <w:r w:rsidR="004F2E23" w:rsidRPr="004F2E23">
              <w:rPr>
                <w:sz w:val="24"/>
                <w:szCs w:val="24"/>
              </w:rPr>
              <w:t>lugar después</w:t>
            </w:r>
            <w:r w:rsidRPr="004F2E23">
              <w:rPr>
                <w:sz w:val="24"/>
                <w:szCs w:val="24"/>
              </w:rPr>
              <w:t xml:space="preserve"> de la </w:t>
            </w:r>
            <w:r w:rsidR="004F2E23" w:rsidRPr="004F2E23">
              <w:rPr>
                <w:sz w:val="24"/>
                <w:szCs w:val="24"/>
              </w:rPr>
              <w:t>administración del</w:t>
            </w:r>
            <w:r w:rsidRPr="004F2E23">
              <w:rPr>
                <w:sz w:val="24"/>
                <w:szCs w:val="24"/>
              </w:rPr>
              <w:t xml:space="preserve"> medicamento.</w:t>
            </w:r>
          </w:p>
        </w:tc>
        <w:tc>
          <w:tcPr>
            <w:tcW w:w="2668" w:type="dxa"/>
            <w:vAlign w:val="center"/>
          </w:tcPr>
          <w:p w14:paraId="1E76250E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Personal asistencial de la institución</w:t>
            </w:r>
          </w:p>
        </w:tc>
        <w:tc>
          <w:tcPr>
            <w:tcW w:w="2516" w:type="dxa"/>
            <w:vAlign w:val="center"/>
          </w:tcPr>
          <w:p w14:paraId="35783DDD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N.A.</w:t>
            </w:r>
          </w:p>
        </w:tc>
      </w:tr>
      <w:tr w:rsidR="00C23326" w:rsidRPr="004F2E23" w14:paraId="3EB90BED" w14:textId="77777777" w:rsidTr="003D4A45">
        <w:tc>
          <w:tcPr>
            <w:tcW w:w="726" w:type="dxa"/>
            <w:vAlign w:val="center"/>
          </w:tcPr>
          <w:p w14:paraId="0E39DA81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</w:tcPr>
          <w:p w14:paraId="5C803039" w14:textId="77777777" w:rsidR="00C23326" w:rsidRPr="004F2E23" w:rsidRDefault="00C23326" w:rsidP="003D4A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Diligenciar el formato de reacción adversa ante la sospecha de evento adverso y notifica</w:t>
            </w:r>
            <w:r w:rsidR="004F2E23">
              <w:rPr>
                <w:sz w:val="24"/>
                <w:szCs w:val="24"/>
              </w:rPr>
              <w:t>r</w:t>
            </w:r>
            <w:r w:rsidRPr="004F2E23">
              <w:rPr>
                <w:sz w:val="24"/>
                <w:szCs w:val="24"/>
              </w:rPr>
              <w:t xml:space="preserve"> al Químico farmacéutico (FORAM)</w:t>
            </w:r>
          </w:p>
        </w:tc>
        <w:tc>
          <w:tcPr>
            <w:tcW w:w="2668" w:type="dxa"/>
            <w:vAlign w:val="center"/>
          </w:tcPr>
          <w:p w14:paraId="3CC6DEBD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Personal asistencial de la institución</w:t>
            </w:r>
          </w:p>
        </w:tc>
        <w:tc>
          <w:tcPr>
            <w:tcW w:w="2516" w:type="dxa"/>
            <w:vAlign w:val="center"/>
          </w:tcPr>
          <w:p w14:paraId="345BBEF2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Formato de Registro de Eventos Adversos a Medicamentos.</w:t>
            </w:r>
          </w:p>
        </w:tc>
      </w:tr>
      <w:tr w:rsidR="00C23326" w:rsidRPr="004F2E23" w14:paraId="442AAE6F" w14:textId="77777777" w:rsidTr="003D4A45">
        <w:tc>
          <w:tcPr>
            <w:tcW w:w="726" w:type="dxa"/>
            <w:vAlign w:val="center"/>
          </w:tcPr>
          <w:p w14:paraId="5C0B5DE9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3</w:t>
            </w:r>
          </w:p>
        </w:tc>
        <w:tc>
          <w:tcPr>
            <w:tcW w:w="4155" w:type="dxa"/>
            <w:vAlign w:val="center"/>
          </w:tcPr>
          <w:p w14:paraId="3B1E932E" w14:textId="77777777" w:rsidR="00C23326" w:rsidRPr="004F2E23" w:rsidRDefault="00C23326" w:rsidP="003D4A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Recolectar los reportes originados y verificar que estén correctamente diligenciados, en caso negativo se los devuelven para su corrección a quien lo diligencio. En caso positivo los archivan.</w:t>
            </w:r>
          </w:p>
        </w:tc>
        <w:tc>
          <w:tcPr>
            <w:tcW w:w="2668" w:type="dxa"/>
            <w:vAlign w:val="center"/>
          </w:tcPr>
          <w:p w14:paraId="1F0115E4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Químico Farmacéutico</w:t>
            </w:r>
          </w:p>
        </w:tc>
        <w:tc>
          <w:tcPr>
            <w:tcW w:w="2516" w:type="dxa"/>
            <w:vAlign w:val="center"/>
          </w:tcPr>
          <w:p w14:paraId="07B19EED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Formato de Registro de Eventos Adversos a Medicamentos.</w:t>
            </w:r>
          </w:p>
        </w:tc>
      </w:tr>
      <w:tr w:rsidR="00C23326" w:rsidRPr="004F2E23" w14:paraId="65567329" w14:textId="77777777" w:rsidTr="003D4A45">
        <w:tc>
          <w:tcPr>
            <w:tcW w:w="726" w:type="dxa"/>
            <w:vAlign w:val="center"/>
          </w:tcPr>
          <w:p w14:paraId="3472A4FA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4</w:t>
            </w:r>
          </w:p>
        </w:tc>
        <w:tc>
          <w:tcPr>
            <w:tcW w:w="4155" w:type="dxa"/>
            <w:vAlign w:val="center"/>
          </w:tcPr>
          <w:p w14:paraId="2D2FDDB1" w14:textId="77777777" w:rsidR="00C23326" w:rsidRPr="004F2E23" w:rsidRDefault="00C23326" w:rsidP="0008722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 xml:space="preserve">En caso de que estén correctamente diligenciados enviar al </w:t>
            </w:r>
            <w:r w:rsidR="004F2E23">
              <w:rPr>
                <w:sz w:val="24"/>
                <w:szCs w:val="24"/>
              </w:rPr>
              <w:t xml:space="preserve">referente de farmacovogilancia y referente de seguridad del paciente para realización de Unidad de análisis de </w:t>
            </w:r>
            <w:r w:rsidR="004F2E23" w:rsidRPr="004F2E23">
              <w:rPr>
                <w:sz w:val="24"/>
                <w:szCs w:val="24"/>
              </w:rPr>
              <w:t xml:space="preserve">reacción o Evento Adverso a medicamentos y/o a Incidentes o eventos adversos a </w:t>
            </w:r>
            <w:r w:rsidR="0008722F">
              <w:rPr>
                <w:sz w:val="24"/>
                <w:szCs w:val="24"/>
              </w:rPr>
              <w:t>Medicamentos.</w:t>
            </w:r>
          </w:p>
        </w:tc>
        <w:tc>
          <w:tcPr>
            <w:tcW w:w="2668" w:type="dxa"/>
            <w:vAlign w:val="center"/>
          </w:tcPr>
          <w:p w14:paraId="2058A519" w14:textId="77777777" w:rsidR="00C23326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Químico Farmacéutico</w:t>
            </w:r>
            <w:r w:rsidR="004F2E23">
              <w:rPr>
                <w:sz w:val="24"/>
                <w:szCs w:val="24"/>
              </w:rPr>
              <w:t>.</w:t>
            </w:r>
          </w:p>
          <w:p w14:paraId="03C262BD" w14:textId="77777777" w:rsidR="004F2E23" w:rsidRDefault="004F2E23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352980B" w14:textId="77777777" w:rsidR="004F2E23" w:rsidRPr="004F2E23" w:rsidRDefault="004F2E23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 de seguridad del paciente</w:t>
            </w:r>
          </w:p>
        </w:tc>
        <w:tc>
          <w:tcPr>
            <w:tcW w:w="2516" w:type="dxa"/>
            <w:vAlign w:val="center"/>
          </w:tcPr>
          <w:p w14:paraId="229FBE5B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Formato de Registro de Eventos Adversos a Medicamentos.</w:t>
            </w:r>
          </w:p>
        </w:tc>
      </w:tr>
      <w:tr w:rsidR="00C23326" w:rsidRPr="004F2E23" w14:paraId="192AAAD4" w14:textId="77777777" w:rsidTr="003D4A45">
        <w:tc>
          <w:tcPr>
            <w:tcW w:w="726" w:type="dxa"/>
            <w:vAlign w:val="center"/>
          </w:tcPr>
          <w:p w14:paraId="408CDE63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5</w:t>
            </w:r>
          </w:p>
        </w:tc>
        <w:tc>
          <w:tcPr>
            <w:tcW w:w="4155" w:type="dxa"/>
            <w:vAlign w:val="center"/>
          </w:tcPr>
          <w:p w14:paraId="773C446B" w14:textId="77777777" w:rsidR="00C23326" w:rsidRPr="004F2E23" w:rsidRDefault="00C23326" w:rsidP="003D4A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Realizar una evaluación previa de causalidad entre el evento adverso y el medicamento sospechoso mediante la utilización del</w:t>
            </w:r>
            <w:r w:rsidR="004F2E23">
              <w:rPr>
                <w:sz w:val="24"/>
                <w:szCs w:val="24"/>
              </w:rPr>
              <w:t xml:space="preserve"> protocolo de </w:t>
            </w:r>
            <w:r w:rsidR="003D4A45">
              <w:rPr>
                <w:sz w:val="24"/>
                <w:szCs w:val="24"/>
              </w:rPr>
              <w:t>Londres</w:t>
            </w:r>
            <w:r w:rsidR="003D4A45" w:rsidRPr="004F2E23">
              <w:rPr>
                <w:sz w:val="24"/>
                <w:szCs w:val="24"/>
              </w:rPr>
              <w:t xml:space="preserve"> </w:t>
            </w:r>
            <w:r w:rsidR="003D4A45">
              <w:rPr>
                <w:sz w:val="24"/>
                <w:szCs w:val="24"/>
              </w:rPr>
              <w:t xml:space="preserve">Y </w:t>
            </w:r>
            <w:r w:rsidR="003D4A45" w:rsidRPr="004F2E23">
              <w:rPr>
                <w:sz w:val="24"/>
                <w:szCs w:val="24"/>
              </w:rPr>
              <w:t>aprobar o desaprobar el análisis de la reacción o evento adverso realizado por el comité de reacción adversa.</w:t>
            </w:r>
          </w:p>
        </w:tc>
        <w:tc>
          <w:tcPr>
            <w:tcW w:w="2668" w:type="dxa"/>
            <w:vAlign w:val="center"/>
          </w:tcPr>
          <w:p w14:paraId="5E19AF83" w14:textId="77777777" w:rsidR="00C23326" w:rsidRPr="004F2E23" w:rsidRDefault="004F2E23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de análisis de </w:t>
            </w:r>
            <w:r w:rsidRPr="004F2E23">
              <w:rPr>
                <w:sz w:val="24"/>
                <w:szCs w:val="24"/>
              </w:rPr>
              <w:t>reacción</w:t>
            </w:r>
            <w:r w:rsidR="00C23326" w:rsidRPr="004F2E23">
              <w:rPr>
                <w:sz w:val="24"/>
                <w:szCs w:val="24"/>
              </w:rPr>
              <w:t xml:space="preserve"> o Evento Adverso a medicamentos y/o a Incidentes o eventos adversos a Dispositivos Médicos.</w:t>
            </w:r>
          </w:p>
        </w:tc>
        <w:tc>
          <w:tcPr>
            <w:tcW w:w="2516" w:type="dxa"/>
            <w:vAlign w:val="center"/>
          </w:tcPr>
          <w:p w14:paraId="1A6F0B22" w14:textId="77777777" w:rsidR="00C23326" w:rsidRDefault="004F2E23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Protocolo de Londres</w:t>
            </w:r>
            <w:r w:rsidR="0008722F">
              <w:rPr>
                <w:sz w:val="24"/>
                <w:szCs w:val="24"/>
              </w:rPr>
              <w:t>.</w:t>
            </w:r>
          </w:p>
          <w:p w14:paraId="310AE953" w14:textId="77777777" w:rsidR="0008722F" w:rsidRDefault="0008722F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AA5E40E" w14:textId="77777777" w:rsidR="0008722F" w:rsidRPr="004F2E23" w:rsidRDefault="0008722F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unidad de análisis.</w:t>
            </w:r>
          </w:p>
        </w:tc>
      </w:tr>
      <w:tr w:rsidR="00C23326" w:rsidRPr="004F2E23" w14:paraId="6856287F" w14:textId="77777777" w:rsidTr="003D4A45">
        <w:tc>
          <w:tcPr>
            <w:tcW w:w="726" w:type="dxa"/>
            <w:vAlign w:val="center"/>
          </w:tcPr>
          <w:p w14:paraId="14E85445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6</w:t>
            </w:r>
          </w:p>
        </w:tc>
        <w:tc>
          <w:tcPr>
            <w:tcW w:w="4155" w:type="dxa"/>
            <w:vAlign w:val="center"/>
          </w:tcPr>
          <w:p w14:paraId="2FF598F5" w14:textId="77777777" w:rsidR="00C23326" w:rsidRPr="004F2E23" w:rsidRDefault="00C23326" w:rsidP="00F22C2B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 xml:space="preserve">Si el evento adverso es severo remitir en un término máximo de 48 horas a la </w:t>
            </w:r>
            <w:r w:rsidR="00F22C2B">
              <w:rPr>
                <w:sz w:val="24"/>
                <w:szCs w:val="24"/>
              </w:rPr>
              <w:t xml:space="preserve">al programa de farmacovigilancia departamental de la </w:t>
            </w:r>
            <w:r w:rsidRPr="004F2E23">
              <w:rPr>
                <w:sz w:val="24"/>
                <w:szCs w:val="24"/>
              </w:rPr>
              <w:t>Se</w:t>
            </w:r>
            <w:r w:rsidR="00F22C2B">
              <w:rPr>
                <w:sz w:val="24"/>
                <w:szCs w:val="24"/>
              </w:rPr>
              <w:t xml:space="preserve">cretaria de Salud </w:t>
            </w:r>
            <w:r w:rsidR="00F22C2B">
              <w:rPr>
                <w:sz w:val="24"/>
                <w:szCs w:val="24"/>
              </w:rPr>
              <w:lastRenderedPageBreak/>
              <w:t>Departamental, aplicativo en al cual aparece registrado la E.S.E Hospital Materno Infantil Ciudadela Metropolitana de Soledad</w:t>
            </w:r>
          </w:p>
        </w:tc>
        <w:tc>
          <w:tcPr>
            <w:tcW w:w="2668" w:type="dxa"/>
            <w:vAlign w:val="center"/>
          </w:tcPr>
          <w:p w14:paraId="7BF9CA30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lastRenderedPageBreak/>
              <w:t>Químico Farmacéutico</w:t>
            </w:r>
          </w:p>
        </w:tc>
        <w:tc>
          <w:tcPr>
            <w:tcW w:w="2516" w:type="dxa"/>
            <w:vAlign w:val="center"/>
          </w:tcPr>
          <w:p w14:paraId="38CE95D0" w14:textId="77777777" w:rsidR="00C23326" w:rsidRPr="004F2E23" w:rsidRDefault="0008722F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del INVIMA-</w:t>
            </w:r>
            <w:r w:rsidR="00F22C2B">
              <w:rPr>
                <w:sz w:val="24"/>
                <w:szCs w:val="24"/>
              </w:rPr>
              <w:t xml:space="preserve">Aplicativo del Programa de </w:t>
            </w:r>
            <w:r w:rsidR="00F22C2B">
              <w:rPr>
                <w:sz w:val="24"/>
                <w:szCs w:val="24"/>
              </w:rPr>
              <w:lastRenderedPageBreak/>
              <w:t>farmacovigilancia departamental</w:t>
            </w:r>
          </w:p>
        </w:tc>
      </w:tr>
      <w:tr w:rsidR="00C23326" w:rsidRPr="004F2E23" w14:paraId="59387CA1" w14:textId="77777777" w:rsidTr="003D4A45">
        <w:tc>
          <w:tcPr>
            <w:tcW w:w="726" w:type="dxa"/>
            <w:vAlign w:val="center"/>
          </w:tcPr>
          <w:p w14:paraId="4C5C8B78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55" w:type="dxa"/>
            <w:vAlign w:val="center"/>
          </w:tcPr>
          <w:p w14:paraId="155F53B0" w14:textId="77777777" w:rsidR="00C23326" w:rsidRDefault="00C23326" w:rsidP="00405017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 xml:space="preserve">Si el evento adverso no es severo reporta en los primeros 5 días de cada mes, siguiente la Secretaria de Salud </w:t>
            </w:r>
            <w:r w:rsidR="003D4A45" w:rsidRPr="004F2E23">
              <w:rPr>
                <w:sz w:val="24"/>
                <w:szCs w:val="24"/>
              </w:rPr>
              <w:t xml:space="preserve">Departamental </w:t>
            </w:r>
            <w:r w:rsidR="00405017">
              <w:rPr>
                <w:sz w:val="24"/>
                <w:szCs w:val="24"/>
              </w:rPr>
              <w:t>en el aplicativo del programa de farmacovigilancia departamental en al cual aparece registrado la E.S.E Hospital Materno Infantil Ciudadela Metropolitana de Soledad</w:t>
            </w:r>
          </w:p>
          <w:p w14:paraId="051A394B" w14:textId="77777777" w:rsidR="0008722F" w:rsidRPr="004F2E23" w:rsidRDefault="0008722F" w:rsidP="00405017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5A14A81E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Químico Farmacéutico.</w:t>
            </w:r>
          </w:p>
        </w:tc>
        <w:tc>
          <w:tcPr>
            <w:tcW w:w="2516" w:type="dxa"/>
            <w:vAlign w:val="center"/>
          </w:tcPr>
          <w:p w14:paraId="658277BD" w14:textId="77777777" w:rsidR="00C23326" w:rsidRPr="004F2E23" w:rsidRDefault="0008722F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del INVIMA-Aplicativo del Programa de farmacovigilancia departamental</w:t>
            </w:r>
          </w:p>
        </w:tc>
      </w:tr>
      <w:tr w:rsidR="0008722F" w:rsidRPr="004F2E23" w14:paraId="7C3B7A1E" w14:textId="77777777" w:rsidTr="003D4A45">
        <w:tc>
          <w:tcPr>
            <w:tcW w:w="726" w:type="dxa"/>
            <w:vAlign w:val="center"/>
          </w:tcPr>
          <w:p w14:paraId="671206B3" w14:textId="77777777" w:rsidR="0008722F" w:rsidRDefault="0008722F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5" w:type="dxa"/>
            <w:vAlign w:val="center"/>
          </w:tcPr>
          <w:p w14:paraId="3997F58B" w14:textId="77777777" w:rsidR="0008722F" w:rsidRPr="004F2E23" w:rsidRDefault="0008722F" w:rsidP="003D4A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Almacenar o archivar los reportes de eventos adversos relacionados con tecnovigilancia </w:t>
            </w:r>
            <w:r w:rsidRPr="003A2CDF">
              <w:rPr>
                <w:sz w:val="24"/>
                <w:szCs w:val="24"/>
              </w:rPr>
              <w:t>en una carpeta dentro del área administrativa del servicio Farmacéutico.</w:t>
            </w:r>
          </w:p>
        </w:tc>
        <w:tc>
          <w:tcPr>
            <w:tcW w:w="2668" w:type="dxa"/>
            <w:vAlign w:val="center"/>
          </w:tcPr>
          <w:p w14:paraId="15B39A48" w14:textId="77777777" w:rsidR="0008722F" w:rsidRDefault="0008722F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Químico Farmacéutico</w:t>
            </w:r>
          </w:p>
        </w:tc>
        <w:tc>
          <w:tcPr>
            <w:tcW w:w="2516" w:type="dxa"/>
            <w:vAlign w:val="center"/>
          </w:tcPr>
          <w:p w14:paraId="26328C42" w14:textId="77777777" w:rsidR="0008722F" w:rsidRPr="004F2E23" w:rsidRDefault="0008722F" w:rsidP="0008722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de Farmacovigilancia</w:t>
            </w:r>
          </w:p>
        </w:tc>
      </w:tr>
      <w:tr w:rsidR="00C23326" w:rsidRPr="004F2E23" w14:paraId="24E0B147" w14:textId="77777777" w:rsidTr="003D4A45">
        <w:tc>
          <w:tcPr>
            <w:tcW w:w="726" w:type="dxa"/>
            <w:vAlign w:val="center"/>
          </w:tcPr>
          <w:p w14:paraId="10C8CF4E" w14:textId="77777777" w:rsidR="00C23326" w:rsidRPr="004F2E23" w:rsidRDefault="0008722F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5" w:type="dxa"/>
            <w:vAlign w:val="center"/>
          </w:tcPr>
          <w:p w14:paraId="02C5A74D" w14:textId="77777777" w:rsidR="00C23326" w:rsidRPr="004F2E23" w:rsidRDefault="00C23326" w:rsidP="003D4A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Realizar el análisis correspondiente al informe de gestión con los indicadores de gestión para realizar medidas hacia la mejora continua del servicio.</w:t>
            </w:r>
          </w:p>
        </w:tc>
        <w:tc>
          <w:tcPr>
            <w:tcW w:w="2668" w:type="dxa"/>
            <w:vAlign w:val="center"/>
          </w:tcPr>
          <w:p w14:paraId="73AFDEC8" w14:textId="77777777" w:rsidR="00C23326" w:rsidRPr="004F2E23" w:rsidRDefault="000D7D63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calidad</w:t>
            </w:r>
          </w:p>
        </w:tc>
        <w:tc>
          <w:tcPr>
            <w:tcW w:w="2516" w:type="dxa"/>
            <w:vAlign w:val="center"/>
          </w:tcPr>
          <w:p w14:paraId="3D028623" w14:textId="77777777" w:rsidR="00C23326" w:rsidRPr="004F2E23" w:rsidRDefault="00C23326" w:rsidP="004F2E23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4F2E23">
              <w:rPr>
                <w:sz w:val="24"/>
                <w:szCs w:val="24"/>
              </w:rPr>
              <w:t>Indicador de gestión</w:t>
            </w:r>
          </w:p>
        </w:tc>
      </w:tr>
    </w:tbl>
    <w:p w14:paraId="5AFDABFC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01112CA" w14:textId="3CB3AB8C" w:rsidR="00C23326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3C8F0A0" w14:textId="5EC41100" w:rsidR="00D739BF" w:rsidRDefault="00D739BF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2CD15E7" w14:textId="30CDFDC9" w:rsidR="00D739BF" w:rsidRDefault="00D739BF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98DCAB4" w14:textId="77777777" w:rsidR="00D739BF" w:rsidRPr="004F2E23" w:rsidRDefault="00D739BF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A0A9DD5" w14:textId="0DE8F2B4" w:rsidR="00C23326" w:rsidRPr="004F2E23" w:rsidRDefault="00C23326" w:rsidP="00D739BF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7" w:name="_Toc78974945"/>
      <w:r w:rsidRPr="004F2E23">
        <w:rPr>
          <w:b/>
          <w:sz w:val="24"/>
          <w:szCs w:val="24"/>
        </w:rPr>
        <w:t>7.</w:t>
      </w:r>
      <w:r w:rsidRPr="004F2E23">
        <w:rPr>
          <w:b/>
          <w:sz w:val="24"/>
          <w:szCs w:val="24"/>
        </w:rPr>
        <w:tab/>
        <w:t>DOCUMENTOS DE REFER</w:t>
      </w:r>
      <w:r w:rsidR="00D739BF">
        <w:rPr>
          <w:b/>
          <w:sz w:val="24"/>
          <w:szCs w:val="24"/>
        </w:rPr>
        <w:t>E</w:t>
      </w:r>
      <w:r w:rsidRPr="004F2E23">
        <w:rPr>
          <w:b/>
          <w:sz w:val="24"/>
          <w:szCs w:val="24"/>
        </w:rPr>
        <w:t>NCIA</w:t>
      </w:r>
      <w:bookmarkEnd w:id="7"/>
    </w:p>
    <w:p w14:paraId="2BDAA040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D4272E4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RESOLUCIÓN 1403 DE 2007:</w:t>
      </w:r>
      <w:r w:rsidRPr="004F2E23">
        <w:rPr>
          <w:sz w:val="24"/>
          <w:szCs w:val="24"/>
        </w:rPr>
        <w:t xml:space="preserve"> Por la cual se determina el Modelo de Gestión del Servicio Farmacéutico, se adopta el Manual de condiciones Esenciales y Procedimientos y se dictan otras disposiciones.</w:t>
      </w:r>
    </w:p>
    <w:p w14:paraId="793E8524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E86C111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DECRETO 2200 DE 2005:</w:t>
      </w:r>
      <w:r w:rsidRPr="004F2E23">
        <w:rPr>
          <w:sz w:val="24"/>
          <w:szCs w:val="24"/>
        </w:rPr>
        <w:t xml:space="preserve"> Por el cual se reglamenta el servicio farmacéutico y se dictan otras disposiciones. </w:t>
      </w:r>
    </w:p>
    <w:p w14:paraId="42A9A748" w14:textId="77777777" w:rsidR="00C23326" w:rsidRPr="004F2E23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183439C" w14:textId="77777777" w:rsidR="002C5758" w:rsidRDefault="00C23326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4F2E23">
        <w:rPr>
          <w:b/>
          <w:sz w:val="24"/>
          <w:szCs w:val="24"/>
        </w:rPr>
        <w:t>DECRETO 2330 de 2006:</w:t>
      </w:r>
      <w:r w:rsidRPr="004F2E23">
        <w:rPr>
          <w:sz w:val="24"/>
          <w:szCs w:val="24"/>
        </w:rPr>
        <w:t xml:space="preserve"> por el cual se modifica el Decreto 2200 de 2005 y se dictan otras disposiciones.</w:t>
      </w:r>
    </w:p>
    <w:p w14:paraId="23C571F8" w14:textId="77777777" w:rsidR="00700664" w:rsidRDefault="00700664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8B1F6B5" w14:textId="77777777" w:rsidR="00700664" w:rsidRDefault="00700664" w:rsidP="004F2E23">
      <w:pPr>
        <w:pStyle w:val="Sinespaciado"/>
        <w:spacing w:line="276" w:lineRule="auto"/>
        <w:jc w:val="both"/>
        <w:rPr>
          <w:sz w:val="24"/>
          <w:szCs w:val="24"/>
        </w:rPr>
      </w:pPr>
      <w:r w:rsidRPr="00700664">
        <w:rPr>
          <w:b/>
          <w:sz w:val="24"/>
          <w:szCs w:val="24"/>
        </w:rPr>
        <w:t>DECRETRO 667 DE 1995:</w:t>
      </w:r>
      <w:r>
        <w:rPr>
          <w:sz w:val="24"/>
          <w:szCs w:val="24"/>
        </w:rPr>
        <w:t xml:space="preserve"> reglamenta parcialmente el régimen de vigilancia sanitaria.</w:t>
      </w:r>
    </w:p>
    <w:p w14:paraId="0E526B44" w14:textId="77777777" w:rsidR="002C5758" w:rsidRDefault="002C5758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AE9C1E9" w14:textId="77777777" w:rsidR="00F22C2B" w:rsidRPr="006C0E71" w:rsidRDefault="00F22C2B" w:rsidP="00F22C2B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6C0E71">
        <w:rPr>
          <w:b/>
          <w:sz w:val="24"/>
          <w:szCs w:val="24"/>
        </w:rPr>
        <w:t>DECRETO 780 de 2016</w:t>
      </w:r>
      <w:r w:rsidRPr="006C0E71">
        <w:rPr>
          <w:sz w:val="24"/>
          <w:szCs w:val="24"/>
        </w:rPr>
        <w:t xml:space="preserve"> Decreto Único Reglamentario del Sector Salud y Protección Social. </w:t>
      </w:r>
    </w:p>
    <w:p w14:paraId="44C0AF95" w14:textId="77777777" w:rsidR="00F22C2B" w:rsidRPr="006C0E71" w:rsidRDefault="00F22C2B" w:rsidP="00F22C2B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2F1CB9DA" w14:textId="77777777" w:rsidR="00F22C2B" w:rsidRPr="006C0E71" w:rsidRDefault="00F22C2B" w:rsidP="00F22C2B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6C0E71">
        <w:rPr>
          <w:b/>
          <w:sz w:val="24"/>
          <w:szCs w:val="24"/>
        </w:rPr>
        <w:t>RESOLUCION 3100 de 2019</w:t>
      </w:r>
      <w:r w:rsidRPr="006C0E71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7C12A80C" w14:textId="77777777" w:rsidR="00F22C2B" w:rsidRPr="004F2E23" w:rsidRDefault="00F22C2B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2C5DBFA" w14:textId="77777777" w:rsidR="002C5758" w:rsidRPr="004F2E23" w:rsidRDefault="002C5758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13"/>
        <w:gridCol w:w="5284"/>
      </w:tblGrid>
      <w:tr w:rsidR="00F22C2B" w:rsidRPr="006C0E71" w14:paraId="0DC774EF" w14:textId="77777777" w:rsidTr="00EA1D71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2B94FD55" w14:textId="3B9DB63E" w:rsidR="00F22C2B" w:rsidRPr="00D739BF" w:rsidRDefault="00D739BF" w:rsidP="00D739BF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bookmarkStart w:id="8" w:name="_Toc78974946"/>
            <w:r w:rsidRPr="00D739B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8. </w:t>
            </w:r>
            <w:r w:rsidR="00F22C2B" w:rsidRPr="00D739BF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8"/>
          </w:p>
        </w:tc>
      </w:tr>
      <w:tr w:rsidR="00F22C2B" w:rsidRPr="006C0E71" w14:paraId="7D1D76C7" w14:textId="77777777" w:rsidTr="00EA1D71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9A24" w14:textId="77777777" w:rsidR="00F22C2B" w:rsidRPr="006C0E71" w:rsidRDefault="00F22C2B" w:rsidP="00EA1D7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F1C16" w14:textId="77777777" w:rsidR="00F22C2B" w:rsidRPr="006C0E71" w:rsidRDefault="00F22C2B" w:rsidP="00EA1D7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55D00" w14:textId="77777777" w:rsidR="00F22C2B" w:rsidRPr="006C0E71" w:rsidRDefault="00F22C2B" w:rsidP="00EA1D7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F22C2B" w:rsidRPr="006C0E71" w14:paraId="3D5AA74A" w14:textId="77777777" w:rsidTr="00EA1D71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AFD2" w14:textId="77777777" w:rsidR="00F22C2B" w:rsidRPr="006C0E71" w:rsidRDefault="00F22C2B" w:rsidP="00EA1D71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FF683" w14:textId="7D2CEF16" w:rsidR="00F22C2B" w:rsidRPr="006C0E71" w:rsidRDefault="00D739BF" w:rsidP="00EA1D71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0D6BC" w14:textId="77777777" w:rsidR="00F22C2B" w:rsidRPr="006C0E71" w:rsidRDefault="00F22C2B" w:rsidP="00EA1D71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59D0962D" w14:textId="77777777" w:rsidR="0005533E" w:rsidRPr="004F2E23" w:rsidRDefault="0005533E" w:rsidP="004F2E23">
      <w:pPr>
        <w:pStyle w:val="Sinespaciado"/>
        <w:spacing w:line="276" w:lineRule="auto"/>
        <w:jc w:val="both"/>
        <w:rPr>
          <w:sz w:val="24"/>
          <w:szCs w:val="24"/>
        </w:rPr>
      </w:pPr>
    </w:p>
    <w:sectPr w:rsidR="0005533E" w:rsidRPr="004F2E23" w:rsidSect="00894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3B67" w14:textId="77777777" w:rsidR="00AC6CFE" w:rsidRDefault="00AC6CFE" w:rsidP="00B9653B">
      <w:pPr>
        <w:spacing w:after="0" w:line="240" w:lineRule="auto"/>
      </w:pPr>
      <w:r>
        <w:separator/>
      </w:r>
    </w:p>
  </w:endnote>
  <w:endnote w:type="continuationSeparator" w:id="0">
    <w:p w14:paraId="7BB5661B" w14:textId="77777777" w:rsidR="00AC6CFE" w:rsidRDefault="00AC6CFE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362C" w14:textId="77777777" w:rsidR="00894A0F" w:rsidRDefault="00894A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894A0F" w:rsidRPr="001F6D45" w14:paraId="2D9C06BD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30DACDC6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9" w:name="_Hlk77951481"/>
          <w:bookmarkStart w:id="10" w:name="_Hlk8013263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5514F660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203CABBA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94B2CB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894A0F" w:rsidRPr="001F6D45" w14:paraId="63B13D9F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BB5734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0D37DE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24E830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67EC372D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0DACF6" w14:textId="77777777" w:rsidR="00894A0F" w:rsidRPr="001F6D45" w:rsidRDefault="00894A0F" w:rsidP="00894A0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9"/>
    </w:tr>
    <w:bookmarkEnd w:id="10"/>
  </w:tbl>
  <w:p w14:paraId="52E59B70" w14:textId="77777777" w:rsidR="003D1AE3" w:rsidRPr="00D739BF" w:rsidRDefault="003D1AE3" w:rsidP="00D739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0D93" w14:textId="77777777" w:rsidR="00894A0F" w:rsidRDefault="00894A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86D3" w14:textId="77777777" w:rsidR="00AC6CFE" w:rsidRDefault="00AC6CFE" w:rsidP="00B9653B">
      <w:pPr>
        <w:spacing w:after="0" w:line="240" w:lineRule="auto"/>
      </w:pPr>
      <w:r>
        <w:separator/>
      </w:r>
    </w:p>
  </w:footnote>
  <w:footnote w:type="continuationSeparator" w:id="0">
    <w:p w14:paraId="2C8BA07C" w14:textId="77777777" w:rsidR="00AC6CFE" w:rsidRDefault="00AC6CFE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9FCB" w14:textId="77777777" w:rsidR="00894A0F" w:rsidRDefault="00894A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957"/>
      <w:gridCol w:w="1133"/>
      <w:gridCol w:w="1700"/>
    </w:tblGrid>
    <w:tr w:rsidR="00D739BF" w14:paraId="63ABEB23" w14:textId="77777777" w:rsidTr="0097793F">
      <w:trPr>
        <w:trHeight w:val="392"/>
        <w:jc w:val="center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7D8DD6" w14:textId="08A85756" w:rsidR="00D739BF" w:rsidRDefault="00D739BF" w:rsidP="00D739BF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1FAB4DC9" wp14:editId="09D3E101">
                <wp:extent cx="1390650" cy="971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B740FC" w14:textId="77777777" w:rsidR="00D739BF" w:rsidRDefault="00D739BF" w:rsidP="00D739BF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44A8F1" w14:textId="77777777" w:rsidR="00D739BF" w:rsidRDefault="00D739BF" w:rsidP="00D739B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11CB2A" w14:textId="01C713DC" w:rsidR="00D739BF" w:rsidRDefault="00D739BF" w:rsidP="00D739BF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PT-RREAM-02</w:t>
          </w:r>
        </w:p>
      </w:tc>
    </w:tr>
    <w:tr w:rsidR="00D739BF" w14:paraId="568B0D6E" w14:textId="77777777" w:rsidTr="0097793F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689899" w14:textId="77777777" w:rsidR="00D739BF" w:rsidRDefault="00D739BF" w:rsidP="00D739BF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B2FB3A" w14:textId="77777777" w:rsidR="00D739BF" w:rsidRDefault="00D739BF" w:rsidP="00D739BF">
          <w:pPr>
            <w:spacing w:after="0"/>
            <w:rPr>
              <w:rFonts w:ascii="Calibri" w:eastAsia="Arial" w:hAnsi="Calibri" w:cs="Calibri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5CAB25" w14:textId="77777777" w:rsidR="00D739BF" w:rsidRDefault="00D739BF" w:rsidP="00D739B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1EAACA" w14:textId="77777777" w:rsidR="00D739BF" w:rsidRDefault="00D739BF" w:rsidP="00D739BF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2</w:t>
          </w:r>
        </w:p>
      </w:tc>
    </w:tr>
    <w:tr w:rsidR="00D739BF" w14:paraId="69615CF1" w14:textId="77777777" w:rsidTr="0097793F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8F0D27" w14:textId="77777777" w:rsidR="00D739BF" w:rsidRDefault="00D739BF" w:rsidP="00D739BF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F862FE" w14:textId="77777777" w:rsidR="00D739BF" w:rsidRDefault="00D739BF" w:rsidP="00D739BF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FA6B3C" w14:textId="77777777" w:rsidR="00D739BF" w:rsidRDefault="00D739BF" w:rsidP="00D739B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F0C926" w14:textId="77777777" w:rsidR="00D739BF" w:rsidRDefault="00D739BF" w:rsidP="00D739BF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>
            <w:rPr>
              <w:rFonts w:ascii="Calibri" w:eastAsia="Arial" w:hAnsi="Calibri" w:cs="Calibri"/>
            </w:rPr>
            <w:t xml:space="preserve">31-03-2021 </w:t>
          </w:r>
        </w:p>
      </w:tc>
    </w:tr>
    <w:tr w:rsidR="00D739BF" w14:paraId="246DB451" w14:textId="77777777" w:rsidTr="0097793F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3774D9" w14:textId="77777777" w:rsidR="00D739BF" w:rsidRDefault="00D739BF" w:rsidP="00D739BF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8A86DF" w14:textId="67AEC07D" w:rsidR="00D739BF" w:rsidRDefault="00D739BF" w:rsidP="00D739BF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D739BF">
            <w:rPr>
              <w:rFonts w:ascii="Calibri" w:eastAsia="Arial" w:hAnsi="Calibri" w:cs="Calibri"/>
              <w:lang w:val="es-ES"/>
            </w:rPr>
            <w:t>Protocolo De Registro Y Reporte De Reacción O Eventos Adversos A Medicamentos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64CAEA" w14:textId="77777777" w:rsidR="00D739BF" w:rsidRDefault="00D739BF" w:rsidP="00D739BF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C94BCC" w14:textId="77777777" w:rsidR="00D739BF" w:rsidRDefault="00D739BF" w:rsidP="00D739BF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 xml:space="preserve">Página </w:t>
          </w:r>
          <w:r>
            <w:rPr>
              <w:rFonts w:ascii="Calibri" w:eastAsia="Arial" w:hAnsi="Calibri" w:cs="Calibri"/>
              <w:b/>
            </w:rPr>
            <w:fldChar w:fldCharType="begin"/>
          </w:r>
          <w:r>
            <w:rPr>
              <w:rFonts w:ascii="Calibri" w:eastAsia="Arial" w:hAnsi="Calibri" w:cs="Calibri"/>
              <w:b/>
            </w:rPr>
            <w:instrText>PAGE</w:instrText>
          </w:r>
          <w:r>
            <w:rPr>
              <w:rFonts w:ascii="Calibri" w:eastAsia="Arial" w:hAnsi="Calibri" w:cs="Calibri"/>
              <w:b/>
            </w:rPr>
            <w:fldChar w:fldCharType="separate"/>
          </w:r>
          <w:r>
            <w:rPr>
              <w:rFonts w:ascii="Calibri" w:eastAsia="Arial" w:hAnsi="Calibri" w:cs="Calibri"/>
              <w:b/>
              <w:noProof/>
            </w:rPr>
            <w:t>18</w:t>
          </w:r>
          <w:r>
            <w:rPr>
              <w:rFonts w:ascii="Calibri" w:eastAsia="Arial" w:hAnsi="Calibri" w:cs="Calibri"/>
              <w:b/>
            </w:rPr>
            <w:fldChar w:fldCharType="end"/>
          </w:r>
          <w:r>
            <w:rPr>
              <w:rFonts w:ascii="Calibri" w:eastAsia="Arial" w:hAnsi="Calibri" w:cs="Calibri"/>
            </w:rPr>
            <w:t xml:space="preserve"> de </w:t>
          </w:r>
          <w:r>
            <w:rPr>
              <w:rFonts w:ascii="Calibri" w:eastAsia="Arial" w:hAnsi="Calibri" w:cs="Calibri"/>
              <w:b/>
            </w:rPr>
            <w:fldChar w:fldCharType="begin"/>
          </w:r>
          <w:r>
            <w:rPr>
              <w:rFonts w:ascii="Calibri" w:eastAsia="Arial" w:hAnsi="Calibri" w:cs="Calibri"/>
              <w:b/>
            </w:rPr>
            <w:instrText>NUMPAGES</w:instrText>
          </w:r>
          <w:r>
            <w:rPr>
              <w:rFonts w:ascii="Calibri" w:eastAsia="Arial" w:hAnsi="Calibri" w:cs="Calibri"/>
              <w:b/>
            </w:rPr>
            <w:fldChar w:fldCharType="separate"/>
          </w:r>
          <w:r>
            <w:rPr>
              <w:rFonts w:ascii="Calibri" w:eastAsia="Arial" w:hAnsi="Calibri" w:cs="Calibri"/>
              <w:b/>
              <w:noProof/>
            </w:rPr>
            <w:t>19</w:t>
          </w:r>
          <w:r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7CC2F0E6" w14:textId="77777777" w:rsidR="00B9653B" w:rsidRDefault="00B965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1126" w14:textId="77777777" w:rsidR="00894A0F" w:rsidRDefault="00894A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99pt;height:96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533E"/>
    <w:rsid w:val="00084094"/>
    <w:rsid w:val="0008722F"/>
    <w:rsid w:val="000B4BA8"/>
    <w:rsid w:val="000D7D63"/>
    <w:rsid w:val="00123C16"/>
    <w:rsid w:val="0014791F"/>
    <w:rsid w:val="00284776"/>
    <w:rsid w:val="00285589"/>
    <w:rsid w:val="00291800"/>
    <w:rsid w:val="002B4BF5"/>
    <w:rsid w:val="002C5758"/>
    <w:rsid w:val="002D2618"/>
    <w:rsid w:val="002E6E88"/>
    <w:rsid w:val="00384281"/>
    <w:rsid w:val="003B378B"/>
    <w:rsid w:val="003D1AE3"/>
    <w:rsid w:val="003D4A45"/>
    <w:rsid w:val="003F486C"/>
    <w:rsid w:val="003F4E63"/>
    <w:rsid w:val="00405017"/>
    <w:rsid w:val="0046578F"/>
    <w:rsid w:val="00475255"/>
    <w:rsid w:val="004767D5"/>
    <w:rsid w:val="004B1CDF"/>
    <w:rsid w:val="004D482E"/>
    <w:rsid w:val="004F2E23"/>
    <w:rsid w:val="00515653"/>
    <w:rsid w:val="005413B0"/>
    <w:rsid w:val="0056288E"/>
    <w:rsid w:val="00582546"/>
    <w:rsid w:val="005A724B"/>
    <w:rsid w:val="005D2C74"/>
    <w:rsid w:val="006170D2"/>
    <w:rsid w:val="006B2FC5"/>
    <w:rsid w:val="006F10EE"/>
    <w:rsid w:val="00700664"/>
    <w:rsid w:val="007347A6"/>
    <w:rsid w:val="00764891"/>
    <w:rsid w:val="007B5F6F"/>
    <w:rsid w:val="007B7A98"/>
    <w:rsid w:val="00806F3C"/>
    <w:rsid w:val="008121E7"/>
    <w:rsid w:val="00822840"/>
    <w:rsid w:val="0083497A"/>
    <w:rsid w:val="0083560F"/>
    <w:rsid w:val="00894A0F"/>
    <w:rsid w:val="00894F27"/>
    <w:rsid w:val="0089584F"/>
    <w:rsid w:val="008C6614"/>
    <w:rsid w:val="009064A3"/>
    <w:rsid w:val="00922A31"/>
    <w:rsid w:val="009B7BEC"/>
    <w:rsid w:val="009E0ED3"/>
    <w:rsid w:val="00A166EA"/>
    <w:rsid w:val="00A6414A"/>
    <w:rsid w:val="00A738AE"/>
    <w:rsid w:val="00AA6943"/>
    <w:rsid w:val="00AB2FAA"/>
    <w:rsid w:val="00AC6CFE"/>
    <w:rsid w:val="00AD5750"/>
    <w:rsid w:val="00AD6B67"/>
    <w:rsid w:val="00AF32F4"/>
    <w:rsid w:val="00B579F4"/>
    <w:rsid w:val="00B9653B"/>
    <w:rsid w:val="00BB2F64"/>
    <w:rsid w:val="00BC5F6C"/>
    <w:rsid w:val="00BC7C15"/>
    <w:rsid w:val="00C23326"/>
    <w:rsid w:val="00CC7ADE"/>
    <w:rsid w:val="00D739BF"/>
    <w:rsid w:val="00EC4B9F"/>
    <w:rsid w:val="00F01DD0"/>
    <w:rsid w:val="00F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2010D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D73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739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739BF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739B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7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21AC-308E-492C-B8C5-CE6DEACC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20</cp:revision>
  <dcterms:created xsi:type="dcterms:W3CDTF">2021-03-01T09:36:00Z</dcterms:created>
  <dcterms:modified xsi:type="dcterms:W3CDTF">2021-08-18T04:11:00Z</dcterms:modified>
</cp:coreProperties>
</file>