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52F7" w14:textId="77777777" w:rsidR="00526A49" w:rsidRPr="00526A49" w:rsidRDefault="00526A49" w:rsidP="00526A49">
      <w:pPr>
        <w:pStyle w:val="Sinespaciado"/>
        <w:spacing w:line="276" w:lineRule="auto"/>
        <w:jc w:val="center"/>
        <w:rPr>
          <w:rFonts w:cstheme="minorHAnsi"/>
          <w:b/>
          <w:bCs/>
          <w:sz w:val="48"/>
          <w:szCs w:val="48"/>
        </w:rPr>
      </w:pPr>
    </w:p>
    <w:p w14:paraId="6EF35466" w14:textId="77777777" w:rsidR="00526A49" w:rsidRPr="00526A49" w:rsidRDefault="00526A49" w:rsidP="00526A49">
      <w:pPr>
        <w:pStyle w:val="Sinespaciado"/>
        <w:spacing w:line="276" w:lineRule="auto"/>
        <w:jc w:val="center"/>
        <w:rPr>
          <w:rFonts w:cstheme="minorHAnsi"/>
          <w:b/>
          <w:bCs/>
          <w:sz w:val="48"/>
          <w:szCs w:val="48"/>
        </w:rPr>
      </w:pPr>
    </w:p>
    <w:p w14:paraId="10FA2021" w14:textId="77777777" w:rsidR="00526A49" w:rsidRPr="00526A49" w:rsidRDefault="00526A49" w:rsidP="00526A49">
      <w:pPr>
        <w:pStyle w:val="Sinespaciado"/>
        <w:spacing w:line="276" w:lineRule="auto"/>
        <w:jc w:val="center"/>
        <w:rPr>
          <w:rFonts w:cstheme="minorHAnsi"/>
          <w:b/>
          <w:bCs/>
          <w:sz w:val="48"/>
          <w:szCs w:val="48"/>
        </w:rPr>
      </w:pPr>
    </w:p>
    <w:p w14:paraId="54685BCB" w14:textId="66AF4D54" w:rsidR="00475255" w:rsidRPr="00526A49" w:rsidRDefault="00526A49" w:rsidP="00526A49">
      <w:pPr>
        <w:pStyle w:val="Sinespaciado"/>
        <w:spacing w:line="276" w:lineRule="auto"/>
        <w:jc w:val="center"/>
        <w:rPr>
          <w:rFonts w:cstheme="minorHAnsi"/>
          <w:b/>
          <w:bCs/>
          <w:sz w:val="48"/>
          <w:szCs w:val="48"/>
        </w:rPr>
      </w:pPr>
      <w:r w:rsidRPr="00526A49">
        <w:rPr>
          <w:rFonts w:cstheme="minorHAnsi"/>
          <w:b/>
          <w:bCs/>
          <w:sz w:val="48"/>
          <w:szCs w:val="48"/>
        </w:rPr>
        <w:t>PROTOCOLO DE MANEJO DE MEDICAMENTOS DE CONTROL ESPECIAL</w:t>
      </w:r>
    </w:p>
    <w:p w14:paraId="6E368A52" w14:textId="3D6560D4" w:rsidR="00526A49" w:rsidRPr="00526A49" w:rsidRDefault="00526A49" w:rsidP="00526A49">
      <w:pPr>
        <w:pStyle w:val="Sinespaciado"/>
        <w:spacing w:line="276" w:lineRule="auto"/>
        <w:jc w:val="center"/>
        <w:rPr>
          <w:rFonts w:cstheme="minorHAnsi"/>
          <w:b/>
          <w:bCs/>
          <w:sz w:val="48"/>
          <w:szCs w:val="48"/>
        </w:rPr>
      </w:pPr>
    </w:p>
    <w:p w14:paraId="7540745D" w14:textId="0855B13C" w:rsidR="00526A49" w:rsidRPr="00526A49" w:rsidRDefault="00526A49" w:rsidP="00526A49">
      <w:pPr>
        <w:pStyle w:val="Sinespaciado"/>
        <w:spacing w:line="276" w:lineRule="auto"/>
        <w:jc w:val="center"/>
        <w:rPr>
          <w:rFonts w:cstheme="minorHAnsi"/>
          <w:b/>
          <w:bCs/>
          <w:sz w:val="48"/>
          <w:szCs w:val="48"/>
        </w:rPr>
      </w:pPr>
    </w:p>
    <w:p w14:paraId="5A7D089D" w14:textId="641A1EF2" w:rsidR="00526A49" w:rsidRPr="00526A49" w:rsidRDefault="00526A49" w:rsidP="00526A49">
      <w:pPr>
        <w:pStyle w:val="Sinespaciado"/>
        <w:spacing w:line="276" w:lineRule="auto"/>
        <w:jc w:val="center"/>
        <w:rPr>
          <w:rFonts w:cstheme="minorHAnsi"/>
          <w:b/>
          <w:bCs/>
          <w:sz w:val="48"/>
          <w:szCs w:val="48"/>
        </w:rPr>
      </w:pPr>
    </w:p>
    <w:p w14:paraId="592228C4" w14:textId="281BDA8A" w:rsidR="00526A49" w:rsidRPr="00526A49" w:rsidRDefault="00526A49" w:rsidP="00526A49">
      <w:pPr>
        <w:pStyle w:val="Sinespaciado"/>
        <w:spacing w:line="276" w:lineRule="auto"/>
        <w:jc w:val="center"/>
        <w:rPr>
          <w:rFonts w:cstheme="minorHAnsi"/>
          <w:b/>
          <w:bCs/>
          <w:sz w:val="48"/>
          <w:szCs w:val="48"/>
        </w:rPr>
      </w:pPr>
    </w:p>
    <w:p w14:paraId="4F9B9E8C" w14:textId="4AA2BB40" w:rsidR="00526A49" w:rsidRPr="00526A49" w:rsidRDefault="00526A49" w:rsidP="00526A49">
      <w:pPr>
        <w:pStyle w:val="Sinespaciado"/>
        <w:spacing w:line="276" w:lineRule="auto"/>
        <w:jc w:val="center"/>
        <w:rPr>
          <w:rFonts w:cstheme="minorHAnsi"/>
          <w:b/>
          <w:bCs/>
          <w:sz w:val="48"/>
          <w:szCs w:val="48"/>
        </w:rPr>
      </w:pPr>
    </w:p>
    <w:p w14:paraId="5FF668EE" w14:textId="7D310BF9" w:rsidR="00526A49" w:rsidRPr="00526A49" w:rsidRDefault="00526A49" w:rsidP="00526A49">
      <w:pPr>
        <w:pStyle w:val="Sinespaciado"/>
        <w:spacing w:line="276" w:lineRule="auto"/>
        <w:jc w:val="center"/>
        <w:rPr>
          <w:rFonts w:cstheme="minorHAnsi"/>
          <w:b/>
          <w:bCs/>
          <w:sz w:val="48"/>
          <w:szCs w:val="48"/>
        </w:rPr>
      </w:pPr>
    </w:p>
    <w:p w14:paraId="5DA54804" w14:textId="02CD471D" w:rsidR="00526A49" w:rsidRPr="00526A49" w:rsidRDefault="00526A49" w:rsidP="00526A49">
      <w:pPr>
        <w:pStyle w:val="Sinespaciado"/>
        <w:spacing w:line="276" w:lineRule="auto"/>
        <w:jc w:val="center"/>
        <w:rPr>
          <w:rFonts w:cstheme="minorHAnsi"/>
          <w:b/>
          <w:bCs/>
          <w:sz w:val="48"/>
          <w:szCs w:val="48"/>
        </w:rPr>
      </w:pPr>
    </w:p>
    <w:p w14:paraId="182DD73D" w14:textId="77777777" w:rsidR="00526A49" w:rsidRPr="00526A49" w:rsidRDefault="00526A49" w:rsidP="00526A49">
      <w:pPr>
        <w:pStyle w:val="Sinespaciado"/>
        <w:spacing w:line="276" w:lineRule="auto"/>
        <w:jc w:val="center"/>
        <w:rPr>
          <w:rFonts w:cstheme="minorHAnsi"/>
          <w:b/>
          <w:bCs/>
          <w:sz w:val="48"/>
          <w:szCs w:val="48"/>
        </w:rPr>
      </w:pPr>
    </w:p>
    <w:p w14:paraId="5761AD7F" w14:textId="77777777" w:rsidR="00526A49" w:rsidRPr="00526A49" w:rsidRDefault="00526A49" w:rsidP="00526A49">
      <w:pPr>
        <w:pStyle w:val="Sinespaciado"/>
        <w:spacing w:line="276" w:lineRule="auto"/>
        <w:jc w:val="center"/>
        <w:rPr>
          <w:rFonts w:cstheme="minorHAnsi"/>
          <w:b/>
          <w:bCs/>
          <w:sz w:val="48"/>
          <w:szCs w:val="48"/>
        </w:rPr>
      </w:pPr>
      <w:bookmarkStart w:id="0" w:name="_Hlk80132676"/>
      <w:r w:rsidRPr="00526A49">
        <w:rPr>
          <w:rFonts w:eastAsia="Arial" w:cstheme="minorHAnsi"/>
          <w:b/>
          <w:bCs/>
          <w:sz w:val="48"/>
          <w:szCs w:val="48"/>
          <w:lang w:val="es-ES"/>
        </w:rPr>
        <w:t>Soledad, Atlántico</w:t>
      </w:r>
    </w:p>
    <w:bookmarkEnd w:id="0"/>
    <w:p w14:paraId="40BE7953" w14:textId="77777777" w:rsidR="00526A49" w:rsidRPr="00526A49" w:rsidRDefault="00526A49" w:rsidP="00526A49">
      <w:pPr>
        <w:pStyle w:val="Sinespaciado"/>
        <w:spacing w:line="276" w:lineRule="auto"/>
        <w:jc w:val="both"/>
        <w:rPr>
          <w:rFonts w:cstheme="minorHAnsi"/>
        </w:rPr>
      </w:pPr>
    </w:p>
    <w:p w14:paraId="42966D9D" w14:textId="20ED4ABA" w:rsidR="00526A49" w:rsidRPr="00526A49" w:rsidRDefault="00526A49" w:rsidP="00526A49">
      <w:pPr>
        <w:spacing w:after="0"/>
        <w:rPr>
          <w:rFonts w:cstheme="minorHAnsi"/>
        </w:rPr>
      </w:pPr>
      <w:r w:rsidRPr="00526A49">
        <w:rPr>
          <w:rFonts w:cstheme="minorHAnsi"/>
        </w:rPr>
        <w:br w:type="page"/>
      </w:r>
    </w:p>
    <w:sdt>
      <w:sdtPr>
        <w:rPr>
          <w:lang w:val="es-ES"/>
        </w:rPr>
        <w:id w:val="100917663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D8CB4F3" w14:textId="28C4B9A9" w:rsidR="00526A49" w:rsidRPr="00526A49" w:rsidRDefault="00526A49">
          <w:pPr>
            <w:pStyle w:val="TtuloTDC"/>
            <w:rPr>
              <w:rFonts w:asciiTheme="minorHAnsi" w:hAnsiTheme="minorHAnsi" w:cstheme="minorHAnsi"/>
              <w:b/>
              <w:bCs/>
              <w:color w:val="auto"/>
            </w:rPr>
          </w:pPr>
          <w:r w:rsidRPr="00526A49">
            <w:rPr>
              <w:rFonts w:asciiTheme="minorHAnsi" w:hAnsiTheme="minorHAnsi" w:cstheme="minorHAnsi"/>
              <w:b/>
              <w:bCs/>
              <w:color w:val="auto"/>
              <w:lang w:val="es-ES"/>
            </w:rPr>
            <w:t>Tabla de contenido</w:t>
          </w:r>
        </w:p>
        <w:p w14:paraId="2B2F0BA2" w14:textId="67C518D0" w:rsidR="00526A49" w:rsidRPr="00526A49" w:rsidRDefault="00526A49">
          <w:pPr>
            <w:pStyle w:val="TDC1"/>
            <w:tabs>
              <w:tab w:val="left" w:pos="440"/>
              <w:tab w:val="right" w:leader="dot" w:pos="8828"/>
            </w:tabs>
            <w:rPr>
              <w:rFonts w:cstheme="minorHAnsi"/>
              <w:noProof/>
              <w:sz w:val="24"/>
              <w:szCs w:val="24"/>
            </w:rPr>
          </w:pPr>
          <w:r w:rsidRPr="00526A49">
            <w:rPr>
              <w:rFonts w:cstheme="minorHAnsi"/>
              <w:sz w:val="24"/>
              <w:szCs w:val="24"/>
            </w:rPr>
            <w:fldChar w:fldCharType="begin"/>
          </w:r>
          <w:r w:rsidRPr="00526A49">
            <w:rPr>
              <w:rFonts w:cstheme="minorHAnsi"/>
              <w:sz w:val="24"/>
              <w:szCs w:val="24"/>
            </w:rPr>
            <w:instrText xml:space="preserve"> TOC \o "1-3" \h \z \u </w:instrText>
          </w:r>
          <w:r w:rsidRPr="00526A49">
            <w:rPr>
              <w:rFonts w:cstheme="minorHAnsi"/>
              <w:sz w:val="24"/>
              <w:szCs w:val="24"/>
            </w:rPr>
            <w:fldChar w:fldCharType="separate"/>
          </w:r>
          <w:hyperlink w:anchor="_Toc80133798" w:history="1">
            <w:r w:rsidRPr="00526A49">
              <w:rPr>
                <w:rStyle w:val="Hipervnculo"/>
                <w:rFonts w:eastAsia="Times New Roman" w:cstheme="minorHAnsi"/>
                <w:noProof/>
                <w:color w:val="auto"/>
                <w:sz w:val="24"/>
                <w:szCs w:val="24"/>
                <w:lang w:eastAsia="es-ES"/>
              </w:rPr>
              <w:t>1.</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OBJETIVOS:</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_Toc80133798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3</w:t>
            </w:r>
            <w:r w:rsidRPr="00526A49">
              <w:rPr>
                <w:rFonts w:cstheme="minorHAnsi"/>
                <w:noProof/>
                <w:webHidden/>
                <w:sz w:val="24"/>
                <w:szCs w:val="24"/>
              </w:rPr>
              <w:fldChar w:fldCharType="end"/>
            </w:r>
          </w:hyperlink>
        </w:p>
        <w:p w14:paraId="46DE0BE9" w14:textId="7BDBAC52" w:rsidR="00526A49" w:rsidRPr="00526A49" w:rsidRDefault="00526A49">
          <w:pPr>
            <w:pStyle w:val="TDC1"/>
            <w:tabs>
              <w:tab w:val="left" w:pos="440"/>
              <w:tab w:val="right" w:leader="dot" w:pos="8828"/>
            </w:tabs>
            <w:rPr>
              <w:rFonts w:cstheme="minorHAnsi"/>
              <w:noProof/>
              <w:sz w:val="24"/>
              <w:szCs w:val="24"/>
            </w:rPr>
          </w:pPr>
          <w:hyperlink w:anchor="_Toc80133799" w:history="1">
            <w:r w:rsidRPr="00526A49">
              <w:rPr>
                <w:rStyle w:val="Hipervnculo"/>
                <w:rFonts w:eastAsia="Times New Roman" w:cstheme="minorHAnsi"/>
                <w:noProof/>
                <w:color w:val="auto"/>
                <w:sz w:val="24"/>
                <w:szCs w:val="24"/>
                <w:lang w:eastAsia="es-ES"/>
              </w:rPr>
              <w:t>2.</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ALCANCE:</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_Toc80133799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3</w:t>
            </w:r>
            <w:r w:rsidRPr="00526A49">
              <w:rPr>
                <w:rFonts w:cstheme="minorHAnsi"/>
                <w:noProof/>
                <w:webHidden/>
                <w:sz w:val="24"/>
                <w:szCs w:val="24"/>
              </w:rPr>
              <w:fldChar w:fldCharType="end"/>
            </w:r>
          </w:hyperlink>
        </w:p>
        <w:p w14:paraId="4F7BBD1D" w14:textId="30CF94B1" w:rsidR="00526A49" w:rsidRPr="00526A49" w:rsidRDefault="00526A49">
          <w:pPr>
            <w:pStyle w:val="TDC1"/>
            <w:tabs>
              <w:tab w:val="left" w:pos="440"/>
              <w:tab w:val="right" w:leader="dot" w:pos="8828"/>
            </w:tabs>
            <w:rPr>
              <w:rFonts w:cstheme="minorHAnsi"/>
              <w:noProof/>
              <w:sz w:val="24"/>
              <w:szCs w:val="24"/>
            </w:rPr>
          </w:pPr>
          <w:hyperlink w:anchor="_Toc80133800" w:history="1">
            <w:r w:rsidRPr="00526A49">
              <w:rPr>
                <w:rStyle w:val="Hipervnculo"/>
                <w:rFonts w:eastAsia="Times New Roman" w:cstheme="minorHAnsi"/>
                <w:noProof/>
                <w:color w:val="auto"/>
                <w:sz w:val="24"/>
                <w:szCs w:val="24"/>
                <w:lang w:eastAsia="es-ES"/>
              </w:rPr>
              <w:t>3.</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DEFINICIONES:</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_Toc80133800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3</w:t>
            </w:r>
            <w:r w:rsidRPr="00526A49">
              <w:rPr>
                <w:rFonts w:cstheme="minorHAnsi"/>
                <w:noProof/>
                <w:webHidden/>
                <w:sz w:val="24"/>
                <w:szCs w:val="24"/>
              </w:rPr>
              <w:fldChar w:fldCharType="end"/>
            </w:r>
          </w:hyperlink>
        </w:p>
        <w:p w14:paraId="5912E8B6" w14:textId="7733C87D" w:rsidR="00526A49" w:rsidRPr="00526A49" w:rsidRDefault="00526A49">
          <w:pPr>
            <w:pStyle w:val="TDC1"/>
            <w:tabs>
              <w:tab w:val="left" w:pos="440"/>
              <w:tab w:val="right" w:leader="dot" w:pos="8828"/>
            </w:tabs>
            <w:rPr>
              <w:rFonts w:cstheme="minorHAnsi"/>
              <w:noProof/>
              <w:sz w:val="24"/>
              <w:szCs w:val="24"/>
            </w:rPr>
          </w:pPr>
          <w:hyperlink w:anchor="_Toc80133801" w:history="1">
            <w:r w:rsidRPr="00526A49">
              <w:rPr>
                <w:rStyle w:val="Hipervnculo"/>
                <w:rFonts w:eastAsia="Times New Roman" w:cstheme="minorHAnsi"/>
                <w:noProof/>
                <w:color w:val="auto"/>
                <w:sz w:val="24"/>
                <w:szCs w:val="24"/>
                <w:lang w:eastAsia="es-ES"/>
              </w:rPr>
              <w:t>4.</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RESPONSABLES:</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_Toc80133801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4</w:t>
            </w:r>
            <w:r w:rsidRPr="00526A49">
              <w:rPr>
                <w:rFonts w:cstheme="minorHAnsi"/>
                <w:noProof/>
                <w:webHidden/>
                <w:sz w:val="24"/>
                <w:szCs w:val="24"/>
              </w:rPr>
              <w:fldChar w:fldCharType="end"/>
            </w:r>
          </w:hyperlink>
        </w:p>
        <w:p w14:paraId="45766C87" w14:textId="7FC27C7E" w:rsidR="00526A49" w:rsidRPr="00526A49" w:rsidRDefault="00526A49">
          <w:pPr>
            <w:pStyle w:val="TDC1"/>
            <w:tabs>
              <w:tab w:val="left" w:pos="440"/>
              <w:tab w:val="right" w:leader="dot" w:pos="8828"/>
            </w:tabs>
            <w:rPr>
              <w:rFonts w:cstheme="minorHAnsi"/>
              <w:noProof/>
              <w:sz w:val="24"/>
              <w:szCs w:val="24"/>
            </w:rPr>
          </w:pPr>
          <w:hyperlink w:anchor="_Toc80133802" w:history="1">
            <w:r w:rsidRPr="00526A49">
              <w:rPr>
                <w:rStyle w:val="Hipervnculo"/>
                <w:rFonts w:eastAsia="Times New Roman" w:cstheme="minorHAnsi"/>
                <w:noProof/>
                <w:color w:val="auto"/>
                <w:sz w:val="24"/>
                <w:szCs w:val="24"/>
                <w:lang w:eastAsia="es-ES"/>
              </w:rPr>
              <w:t>5.</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CONDICIONES GENERALES:</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_Toc80133802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4</w:t>
            </w:r>
            <w:r w:rsidRPr="00526A49">
              <w:rPr>
                <w:rFonts w:cstheme="minorHAnsi"/>
                <w:noProof/>
                <w:webHidden/>
                <w:sz w:val="24"/>
                <w:szCs w:val="24"/>
              </w:rPr>
              <w:fldChar w:fldCharType="end"/>
            </w:r>
          </w:hyperlink>
        </w:p>
        <w:p w14:paraId="6B2E4BC9" w14:textId="5F15A226" w:rsidR="00526A49" w:rsidRPr="00526A49" w:rsidRDefault="00526A49">
          <w:pPr>
            <w:pStyle w:val="TDC1"/>
            <w:tabs>
              <w:tab w:val="left" w:pos="440"/>
              <w:tab w:val="right" w:leader="dot" w:pos="8828"/>
            </w:tabs>
            <w:rPr>
              <w:rFonts w:cstheme="minorHAnsi"/>
              <w:noProof/>
              <w:sz w:val="24"/>
              <w:szCs w:val="24"/>
            </w:rPr>
          </w:pPr>
          <w:hyperlink w:anchor="_Toc80133803" w:history="1">
            <w:r w:rsidRPr="00526A49">
              <w:rPr>
                <w:rStyle w:val="Hipervnculo"/>
                <w:rFonts w:eastAsia="Times New Roman" w:cstheme="minorHAnsi"/>
                <w:noProof/>
                <w:color w:val="auto"/>
                <w:sz w:val="24"/>
                <w:szCs w:val="24"/>
                <w:lang w:eastAsia="es-ES"/>
              </w:rPr>
              <w:t>6.</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DESARROLLO</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_Toc80133803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5</w:t>
            </w:r>
            <w:r w:rsidRPr="00526A49">
              <w:rPr>
                <w:rFonts w:cstheme="minorHAnsi"/>
                <w:noProof/>
                <w:webHidden/>
                <w:sz w:val="24"/>
                <w:szCs w:val="24"/>
              </w:rPr>
              <w:fldChar w:fldCharType="end"/>
            </w:r>
          </w:hyperlink>
        </w:p>
        <w:p w14:paraId="6A1E4891" w14:textId="50359A33" w:rsidR="00526A49" w:rsidRPr="00526A49" w:rsidRDefault="00526A49">
          <w:pPr>
            <w:pStyle w:val="TDC1"/>
            <w:tabs>
              <w:tab w:val="left" w:pos="440"/>
              <w:tab w:val="right" w:leader="dot" w:pos="8828"/>
            </w:tabs>
            <w:rPr>
              <w:rFonts w:cstheme="minorHAnsi"/>
              <w:noProof/>
              <w:sz w:val="24"/>
              <w:szCs w:val="24"/>
            </w:rPr>
          </w:pPr>
          <w:hyperlink w:anchor="_Toc80133804" w:history="1">
            <w:r w:rsidRPr="00526A49">
              <w:rPr>
                <w:rStyle w:val="Hipervnculo"/>
                <w:rFonts w:eastAsia="Times New Roman" w:cstheme="minorHAnsi"/>
                <w:noProof/>
                <w:color w:val="auto"/>
                <w:sz w:val="24"/>
                <w:szCs w:val="24"/>
                <w:lang w:eastAsia="es-ES"/>
              </w:rPr>
              <w:t>7.</w:t>
            </w:r>
            <w:r w:rsidRPr="00526A49">
              <w:rPr>
                <w:rFonts w:cstheme="minorHAnsi"/>
                <w:noProof/>
                <w:sz w:val="24"/>
                <w:szCs w:val="24"/>
              </w:rPr>
              <w:tab/>
            </w:r>
            <w:r w:rsidRPr="00526A49">
              <w:rPr>
                <w:rStyle w:val="Hipervnculo"/>
                <w:rFonts w:eastAsia="Times New Roman" w:cstheme="minorHAnsi"/>
                <w:noProof/>
                <w:color w:val="auto"/>
                <w:sz w:val="24"/>
                <w:szCs w:val="24"/>
                <w:lang w:eastAsia="es-ES"/>
              </w:rPr>
              <w:t>DOCUMENTOS DE REFERENCIA.</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_Toc80133804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8</w:t>
            </w:r>
            <w:r w:rsidRPr="00526A49">
              <w:rPr>
                <w:rFonts w:cstheme="minorHAnsi"/>
                <w:noProof/>
                <w:webHidden/>
                <w:sz w:val="24"/>
                <w:szCs w:val="24"/>
              </w:rPr>
              <w:fldChar w:fldCharType="end"/>
            </w:r>
          </w:hyperlink>
        </w:p>
        <w:p w14:paraId="26D2C7E8" w14:textId="690D7C7F" w:rsidR="00526A49" w:rsidRPr="00526A49" w:rsidRDefault="00526A49">
          <w:pPr>
            <w:pStyle w:val="TDC1"/>
            <w:tabs>
              <w:tab w:val="right" w:leader="dot" w:pos="8828"/>
            </w:tabs>
            <w:rPr>
              <w:rFonts w:cstheme="minorHAnsi"/>
              <w:noProof/>
              <w:sz w:val="24"/>
              <w:szCs w:val="24"/>
            </w:rPr>
          </w:pPr>
          <w:hyperlink w:anchor="_Toc80133805" w:history="1">
            <w:r w:rsidRPr="00526A49">
              <w:rPr>
                <w:rStyle w:val="Hipervnculo"/>
                <w:rFonts w:eastAsia="Times New Roman" w:cstheme="minorHAnsi"/>
                <w:noProof/>
                <w:color w:val="auto"/>
                <w:sz w:val="24"/>
                <w:szCs w:val="24"/>
                <w:lang w:eastAsia="es-CO"/>
              </w:rPr>
              <w:t>8.  CONTROL DE CAMBIOS</w:t>
            </w:r>
            <w:r w:rsidRPr="00526A49">
              <w:rPr>
                <w:rFonts w:cstheme="minorHAnsi"/>
                <w:noProof/>
                <w:webHidden/>
                <w:sz w:val="24"/>
                <w:szCs w:val="24"/>
              </w:rPr>
              <w:tab/>
            </w:r>
            <w:r w:rsidRPr="00526A49">
              <w:rPr>
                <w:rFonts w:cstheme="minorHAnsi"/>
                <w:noProof/>
                <w:webHidden/>
                <w:sz w:val="24"/>
                <w:szCs w:val="24"/>
              </w:rPr>
              <w:fldChar w:fldCharType="begin"/>
            </w:r>
            <w:r w:rsidRPr="00526A49">
              <w:rPr>
                <w:rFonts w:cstheme="minorHAnsi"/>
                <w:noProof/>
                <w:webHidden/>
                <w:sz w:val="24"/>
                <w:szCs w:val="24"/>
              </w:rPr>
              <w:instrText xml:space="preserve"> PAGEREF _Toc80133805 \h </w:instrText>
            </w:r>
            <w:r w:rsidRPr="00526A49">
              <w:rPr>
                <w:rFonts w:cstheme="minorHAnsi"/>
                <w:noProof/>
                <w:webHidden/>
                <w:sz w:val="24"/>
                <w:szCs w:val="24"/>
              </w:rPr>
            </w:r>
            <w:r w:rsidRPr="00526A49">
              <w:rPr>
                <w:rFonts w:cstheme="minorHAnsi"/>
                <w:noProof/>
                <w:webHidden/>
                <w:sz w:val="24"/>
                <w:szCs w:val="24"/>
              </w:rPr>
              <w:fldChar w:fldCharType="separate"/>
            </w:r>
            <w:r w:rsidRPr="00526A49">
              <w:rPr>
                <w:rFonts w:cstheme="minorHAnsi"/>
                <w:noProof/>
                <w:webHidden/>
                <w:sz w:val="24"/>
                <w:szCs w:val="24"/>
              </w:rPr>
              <w:t>8</w:t>
            </w:r>
            <w:r w:rsidRPr="00526A49">
              <w:rPr>
                <w:rFonts w:cstheme="minorHAnsi"/>
                <w:noProof/>
                <w:webHidden/>
                <w:sz w:val="24"/>
                <w:szCs w:val="24"/>
              </w:rPr>
              <w:fldChar w:fldCharType="end"/>
            </w:r>
          </w:hyperlink>
        </w:p>
        <w:p w14:paraId="4A06D094" w14:textId="456E050E" w:rsidR="00526A49" w:rsidRDefault="00526A49">
          <w:r w:rsidRPr="00526A49">
            <w:rPr>
              <w:rFonts w:cstheme="minorHAnsi"/>
              <w:sz w:val="24"/>
              <w:szCs w:val="24"/>
              <w:lang w:val="es-ES"/>
            </w:rPr>
            <w:fldChar w:fldCharType="end"/>
          </w:r>
        </w:p>
      </w:sdtContent>
    </w:sdt>
    <w:p w14:paraId="4A587F16" w14:textId="77777777" w:rsidR="0005533E" w:rsidRPr="00526A49" w:rsidRDefault="0005533E" w:rsidP="00526A49">
      <w:pPr>
        <w:pStyle w:val="Sinespaciado"/>
        <w:spacing w:line="276" w:lineRule="auto"/>
        <w:jc w:val="both"/>
        <w:rPr>
          <w:rFonts w:cstheme="minorHAnsi"/>
        </w:rPr>
      </w:pPr>
    </w:p>
    <w:p w14:paraId="1FF7E4F9" w14:textId="07DD2F91" w:rsidR="00526A49" w:rsidRPr="00526A49" w:rsidRDefault="00526A49" w:rsidP="00526A49">
      <w:pPr>
        <w:spacing w:after="0"/>
        <w:rPr>
          <w:rFonts w:cstheme="minorHAnsi"/>
          <w:sz w:val="24"/>
          <w:szCs w:val="24"/>
        </w:rPr>
      </w:pPr>
      <w:r w:rsidRPr="00526A49">
        <w:rPr>
          <w:rFonts w:cstheme="minorHAnsi"/>
          <w:sz w:val="24"/>
          <w:szCs w:val="24"/>
        </w:rPr>
        <w:br w:type="page"/>
      </w:r>
    </w:p>
    <w:p w14:paraId="0417DC22" w14:textId="77777777"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1" w:name="_Toc80133798"/>
      <w:r w:rsidRPr="00526A49">
        <w:rPr>
          <w:rFonts w:asciiTheme="minorHAnsi" w:eastAsia="Times New Roman" w:hAnsiTheme="minorHAnsi" w:cstheme="minorHAnsi"/>
          <w:b/>
          <w:color w:val="auto"/>
          <w:sz w:val="24"/>
          <w:szCs w:val="24"/>
          <w:lang w:eastAsia="es-ES"/>
        </w:rPr>
        <w:lastRenderedPageBreak/>
        <w:t>1.</w:t>
      </w:r>
      <w:r w:rsidRPr="00526A49">
        <w:rPr>
          <w:rFonts w:asciiTheme="minorHAnsi" w:eastAsia="Times New Roman" w:hAnsiTheme="minorHAnsi" w:cstheme="minorHAnsi"/>
          <w:b/>
          <w:color w:val="auto"/>
          <w:sz w:val="24"/>
          <w:szCs w:val="24"/>
          <w:lang w:eastAsia="es-ES"/>
        </w:rPr>
        <w:tab/>
        <w:t>OBJETIVOS:</w:t>
      </w:r>
      <w:bookmarkEnd w:id="1"/>
    </w:p>
    <w:p w14:paraId="7205B69F"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Describir detalladamente las pautas para el control de la adquisición, recepción, el almacenamiento, dispensación y baja y salida de los medicamentos de control especial, estableciendo los criterios, para el manejo ajustado a la normatividad vigente. </w:t>
      </w:r>
    </w:p>
    <w:p w14:paraId="73D30419" w14:textId="77777777" w:rsidR="00706AED" w:rsidRPr="00526A49" w:rsidRDefault="00706AED" w:rsidP="00526A49">
      <w:pPr>
        <w:spacing w:after="0"/>
        <w:jc w:val="both"/>
        <w:rPr>
          <w:rFonts w:eastAsia="Times New Roman" w:cstheme="minorHAnsi"/>
          <w:sz w:val="24"/>
          <w:szCs w:val="24"/>
          <w:lang w:eastAsia="es-ES"/>
        </w:rPr>
      </w:pPr>
    </w:p>
    <w:p w14:paraId="0151371C" w14:textId="77777777" w:rsidR="00706AED" w:rsidRPr="00526A49" w:rsidRDefault="00706AED" w:rsidP="00526A49">
      <w:pPr>
        <w:spacing w:after="0"/>
        <w:jc w:val="both"/>
        <w:rPr>
          <w:rFonts w:eastAsia="Times New Roman" w:cstheme="minorHAnsi"/>
          <w:sz w:val="24"/>
          <w:szCs w:val="24"/>
          <w:lang w:eastAsia="es-ES"/>
        </w:rPr>
      </w:pPr>
    </w:p>
    <w:p w14:paraId="23BBE2BF" w14:textId="77777777"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2" w:name="_Toc80133799"/>
      <w:r w:rsidRPr="00526A49">
        <w:rPr>
          <w:rFonts w:asciiTheme="minorHAnsi" w:eastAsia="Times New Roman" w:hAnsiTheme="minorHAnsi" w:cstheme="minorHAnsi"/>
          <w:b/>
          <w:color w:val="auto"/>
          <w:sz w:val="24"/>
          <w:szCs w:val="24"/>
          <w:lang w:eastAsia="es-ES"/>
        </w:rPr>
        <w:t>2.</w:t>
      </w:r>
      <w:r w:rsidRPr="00526A49">
        <w:rPr>
          <w:rFonts w:asciiTheme="minorHAnsi" w:eastAsia="Times New Roman" w:hAnsiTheme="minorHAnsi" w:cstheme="minorHAnsi"/>
          <w:b/>
          <w:color w:val="auto"/>
          <w:sz w:val="24"/>
          <w:szCs w:val="24"/>
          <w:lang w:eastAsia="es-ES"/>
        </w:rPr>
        <w:tab/>
        <w:t>ALCANCE:</w:t>
      </w:r>
      <w:bookmarkEnd w:id="2"/>
    </w:p>
    <w:p w14:paraId="1F3E50C8"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Inicia con la adquisición de medicamentos de control especial y finaliza con la salida y baja de medicamentos. </w:t>
      </w:r>
    </w:p>
    <w:p w14:paraId="34ADDC94" w14:textId="77777777" w:rsidR="00706AED" w:rsidRPr="00526A49" w:rsidRDefault="00706AED" w:rsidP="00526A49">
      <w:pPr>
        <w:spacing w:after="0"/>
        <w:jc w:val="both"/>
        <w:rPr>
          <w:rFonts w:eastAsia="Times New Roman" w:cstheme="minorHAnsi"/>
          <w:sz w:val="24"/>
          <w:szCs w:val="24"/>
          <w:lang w:eastAsia="es-ES"/>
        </w:rPr>
      </w:pPr>
    </w:p>
    <w:p w14:paraId="060BF087" w14:textId="77777777" w:rsidR="00706AED" w:rsidRPr="00526A49" w:rsidRDefault="00706AED" w:rsidP="00526A49">
      <w:pPr>
        <w:spacing w:after="0"/>
        <w:jc w:val="both"/>
        <w:rPr>
          <w:rFonts w:eastAsia="Times New Roman" w:cstheme="minorHAnsi"/>
          <w:sz w:val="24"/>
          <w:szCs w:val="24"/>
          <w:lang w:eastAsia="es-ES"/>
        </w:rPr>
      </w:pPr>
    </w:p>
    <w:p w14:paraId="21518941" w14:textId="31F6A11B"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3" w:name="_Toc80133800"/>
      <w:r w:rsidRPr="00526A49">
        <w:rPr>
          <w:rFonts w:asciiTheme="minorHAnsi" w:eastAsia="Times New Roman" w:hAnsiTheme="minorHAnsi" w:cstheme="minorHAnsi"/>
          <w:b/>
          <w:color w:val="auto"/>
          <w:sz w:val="24"/>
          <w:szCs w:val="24"/>
          <w:lang w:eastAsia="es-ES"/>
        </w:rPr>
        <w:t>3.</w:t>
      </w:r>
      <w:r w:rsidRPr="00526A49">
        <w:rPr>
          <w:rFonts w:asciiTheme="minorHAnsi" w:eastAsia="Times New Roman" w:hAnsiTheme="minorHAnsi" w:cstheme="minorHAnsi"/>
          <w:b/>
          <w:color w:val="auto"/>
          <w:sz w:val="24"/>
          <w:szCs w:val="24"/>
          <w:lang w:eastAsia="es-ES"/>
        </w:rPr>
        <w:tab/>
        <w:t>DEFINICIONES:</w:t>
      </w:r>
      <w:bookmarkEnd w:id="3"/>
    </w:p>
    <w:p w14:paraId="500B46DF"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Abuso:</w:t>
      </w:r>
      <w:r w:rsidRPr="00526A49">
        <w:rPr>
          <w:rFonts w:eastAsia="Times New Roman" w:cstheme="minorHAnsi"/>
          <w:sz w:val="24"/>
          <w:szCs w:val="24"/>
          <w:lang w:eastAsia="es-ES"/>
        </w:rPr>
        <w:t xml:space="preserve"> Es el uso indebido de drogas o medicamentos con fines no médicos.</w:t>
      </w:r>
    </w:p>
    <w:p w14:paraId="5BAAC50F" w14:textId="77777777" w:rsidR="00706AED" w:rsidRPr="00526A49" w:rsidRDefault="00706AED" w:rsidP="00526A49">
      <w:pPr>
        <w:spacing w:after="0"/>
        <w:jc w:val="both"/>
        <w:rPr>
          <w:rFonts w:eastAsia="Times New Roman" w:cstheme="minorHAnsi"/>
          <w:b/>
          <w:sz w:val="24"/>
          <w:szCs w:val="24"/>
          <w:lang w:eastAsia="es-ES"/>
        </w:rPr>
      </w:pPr>
    </w:p>
    <w:p w14:paraId="4156A771"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Adicción o drogadicción:</w:t>
      </w:r>
      <w:r w:rsidRPr="00526A49">
        <w:rPr>
          <w:rFonts w:eastAsia="Times New Roman" w:cstheme="minorHAnsi"/>
          <w:sz w:val="24"/>
          <w:szCs w:val="24"/>
          <w:lang w:eastAsia="es-ES"/>
        </w:rPr>
        <w:t xml:space="preserve"> Es la dependencia a una droga.</w:t>
      </w:r>
    </w:p>
    <w:p w14:paraId="34626F78" w14:textId="77777777" w:rsidR="00706AED" w:rsidRPr="00526A49" w:rsidRDefault="00706AED" w:rsidP="00526A49">
      <w:pPr>
        <w:spacing w:after="0"/>
        <w:jc w:val="both"/>
        <w:rPr>
          <w:rFonts w:eastAsia="Times New Roman" w:cstheme="minorHAnsi"/>
          <w:b/>
          <w:sz w:val="24"/>
          <w:szCs w:val="24"/>
          <w:lang w:eastAsia="es-ES"/>
        </w:rPr>
      </w:pPr>
    </w:p>
    <w:p w14:paraId="3F5B2B21"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Estupefaciente:</w:t>
      </w:r>
      <w:r w:rsidRPr="00526A49">
        <w:rPr>
          <w:rFonts w:eastAsia="Times New Roman" w:cstheme="minorHAnsi"/>
          <w:sz w:val="24"/>
          <w:szCs w:val="24"/>
          <w:lang w:eastAsia="es-ES"/>
        </w:rPr>
        <w:t xml:space="preserve"> .Es la sustancia con alto potencial de dependencia y abuso.</w:t>
      </w:r>
    </w:p>
    <w:p w14:paraId="27927758" w14:textId="77777777" w:rsidR="00706AED" w:rsidRPr="00526A49" w:rsidRDefault="00706AED" w:rsidP="00526A49">
      <w:pPr>
        <w:spacing w:after="0"/>
        <w:jc w:val="both"/>
        <w:rPr>
          <w:rFonts w:eastAsia="Times New Roman" w:cstheme="minorHAnsi"/>
          <w:sz w:val="24"/>
          <w:szCs w:val="24"/>
          <w:lang w:eastAsia="es-ES"/>
        </w:rPr>
      </w:pPr>
    </w:p>
    <w:p w14:paraId="38F92317"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 xml:space="preserve">Franja violeta: </w:t>
      </w:r>
      <w:r w:rsidRPr="00526A49">
        <w:rPr>
          <w:rFonts w:eastAsia="Times New Roman" w:cstheme="minorHAnsi"/>
          <w:sz w:val="24"/>
          <w:szCs w:val="24"/>
          <w:lang w:eastAsia="es-ES"/>
        </w:rPr>
        <w:t>Es la característica que identifica a los medicamentos de control especial.</w:t>
      </w:r>
    </w:p>
    <w:p w14:paraId="48C40511" w14:textId="77777777" w:rsidR="00706AED" w:rsidRPr="00526A49" w:rsidRDefault="00706AED" w:rsidP="00526A49">
      <w:pPr>
        <w:spacing w:after="0"/>
        <w:jc w:val="both"/>
        <w:rPr>
          <w:rFonts w:eastAsia="Times New Roman" w:cstheme="minorHAnsi"/>
          <w:sz w:val="24"/>
          <w:szCs w:val="24"/>
          <w:lang w:eastAsia="es-ES"/>
        </w:rPr>
      </w:pPr>
    </w:p>
    <w:p w14:paraId="2303439B"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Medicamento sometido a fiscalización de uso humano o veterinario:</w:t>
      </w:r>
      <w:r w:rsidRPr="00526A49">
        <w:rPr>
          <w:rFonts w:eastAsia="Times New Roman" w:cstheme="minorHAnsi"/>
          <w:sz w:val="24"/>
          <w:szCs w:val="24"/>
          <w:lang w:eastAsia="es-ES"/>
        </w:rPr>
        <w:t xml:space="preserve"> Es el preparado farmacéutico obtenido a partir de uno o más principios activos de control especial, catalogados como tal en las convenciones de estupefacientes (1961), precursores (1988) y psicotrópicos (1971), o por el Gobierno Nacional, con o sin sustancias auxiliares presentado bajo forma farmacéutica definida, que se utiliza para la prevención, diagnóstico, tratamiento, curación o rehabilitación de las enfermedades de los seres vivos.</w:t>
      </w:r>
    </w:p>
    <w:p w14:paraId="4F455066" w14:textId="77777777" w:rsidR="00706AED" w:rsidRPr="00526A49" w:rsidRDefault="00706AED" w:rsidP="00526A49">
      <w:pPr>
        <w:spacing w:after="0"/>
        <w:jc w:val="both"/>
        <w:rPr>
          <w:rFonts w:eastAsia="Times New Roman" w:cstheme="minorHAnsi"/>
          <w:sz w:val="24"/>
          <w:szCs w:val="24"/>
          <w:lang w:eastAsia="es-ES"/>
        </w:rPr>
      </w:pPr>
    </w:p>
    <w:p w14:paraId="312A30A6"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Precursor químico:</w:t>
      </w:r>
      <w:r w:rsidRPr="00526A49">
        <w:rPr>
          <w:rFonts w:eastAsia="Times New Roman" w:cstheme="minorHAnsi"/>
          <w:sz w:val="24"/>
          <w:szCs w:val="24"/>
          <w:lang w:eastAsia="es-ES"/>
        </w:rPr>
        <w:t xml:space="preserve"> Es la sustancia o mezcla de sustancias a partir de las cuales se producen, sintetizan u obtienen drogas que crean dependencia.</w:t>
      </w:r>
    </w:p>
    <w:p w14:paraId="3A9910BE" w14:textId="77777777" w:rsidR="00706AED" w:rsidRPr="00526A49" w:rsidRDefault="00706AED" w:rsidP="00526A49">
      <w:pPr>
        <w:spacing w:after="0"/>
        <w:jc w:val="both"/>
        <w:rPr>
          <w:rFonts w:eastAsia="Times New Roman" w:cstheme="minorHAnsi"/>
          <w:sz w:val="24"/>
          <w:szCs w:val="24"/>
          <w:lang w:eastAsia="es-ES"/>
        </w:rPr>
      </w:pPr>
    </w:p>
    <w:p w14:paraId="1D242AF5"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Prevención:</w:t>
      </w:r>
      <w:r w:rsidRPr="00526A49">
        <w:rPr>
          <w:rFonts w:eastAsia="Times New Roman" w:cstheme="minorHAnsi"/>
          <w:sz w:val="24"/>
          <w:szCs w:val="24"/>
          <w:lang w:eastAsia="es-ES"/>
        </w:rPr>
        <w:t xml:space="preserve"> Conjunto de actividades encaminadas a reducir y evitar el mal uso de sustancias y medicamentos que puedan causar dependencia.</w:t>
      </w:r>
    </w:p>
    <w:p w14:paraId="0F90BBFE" w14:textId="77777777" w:rsidR="00706AED" w:rsidRPr="00526A49" w:rsidRDefault="00706AED" w:rsidP="00526A49">
      <w:pPr>
        <w:spacing w:after="0"/>
        <w:jc w:val="both"/>
        <w:rPr>
          <w:rFonts w:eastAsia="Times New Roman" w:cstheme="minorHAnsi"/>
          <w:sz w:val="24"/>
          <w:szCs w:val="24"/>
          <w:lang w:eastAsia="es-ES"/>
        </w:rPr>
      </w:pPr>
    </w:p>
    <w:p w14:paraId="3E88C196"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Principio activo:</w:t>
      </w:r>
      <w:r w:rsidRPr="00526A49">
        <w:rPr>
          <w:rFonts w:eastAsia="Times New Roman" w:cstheme="minorHAnsi"/>
          <w:sz w:val="24"/>
          <w:szCs w:val="24"/>
          <w:lang w:eastAsia="es-ES"/>
        </w:rPr>
        <w:t xml:space="preserve"> Compuesto o mezcla de compuestos que tienen acción farmacológica.</w:t>
      </w:r>
    </w:p>
    <w:p w14:paraId="1F7767D1" w14:textId="77777777" w:rsidR="00706AED" w:rsidRPr="00526A49" w:rsidRDefault="00706AED" w:rsidP="00526A49">
      <w:pPr>
        <w:spacing w:after="0"/>
        <w:jc w:val="both"/>
        <w:rPr>
          <w:rFonts w:eastAsia="Times New Roman" w:cstheme="minorHAnsi"/>
          <w:sz w:val="24"/>
          <w:szCs w:val="24"/>
          <w:lang w:eastAsia="es-ES"/>
        </w:rPr>
      </w:pPr>
    </w:p>
    <w:p w14:paraId="42D68BFA"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Recetario oficial:</w:t>
      </w:r>
      <w:r w:rsidRPr="00526A49">
        <w:rPr>
          <w:rFonts w:eastAsia="Times New Roman" w:cstheme="minorHAnsi"/>
          <w:sz w:val="24"/>
          <w:szCs w:val="24"/>
          <w:lang w:eastAsia="es-ES"/>
        </w:rPr>
        <w:t xml:space="preserve"> Documento oficial autorizado por la entidad competente, de carácter personal e intransferible que utilizan los prescriptores de salud para la formulación de los medicamentos de control especial y de monopolio del Estado.</w:t>
      </w:r>
    </w:p>
    <w:p w14:paraId="3BC4C180" w14:textId="77777777" w:rsidR="00706AED" w:rsidRPr="00526A49" w:rsidRDefault="00706AED" w:rsidP="00526A49">
      <w:pPr>
        <w:spacing w:after="0"/>
        <w:jc w:val="both"/>
        <w:rPr>
          <w:rFonts w:eastAsia="Times New Roman" w:cstheme="minorHAnsi"/>
          <w:sz w:val="24"/>
          <w:szCs w:val="24"/>
          <w:lang w:eastAsia="es-ES"/>
        </w:rPr>
      </w:pPr>
    </w:p>
    <w:p w14:paraId="06401083"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Sustancia psicotrópica:</w:t>
      </w:r>
      <w:r w:rsidRPr="00526A49">
        <w:rPr>
          <w:rFonts w:eastAsia="Times New Roman" w:cstheme="minorHAnsi"/>
          <w:sz w:val="24"/>
          <w:szCs w:val="24"/>
          <w:lang w:eastAsia="es-ES"/>
        </w:rPr>
        <w:t xml:space="preserve"> Es la droga que actúa sobre el sistema nervioso central produciendo efectos </w:t>
      </w:r>
      <w:r w:rsidR="00D43B65" w:rsidRPr="00526A49">
        <w:rPr>
          <w:rFonts w:eastAsia="Times New Roman" w:cstheme="minorHAnsi"/>
          <w:sz w:val="24"/>
          <w:szCs w:val="24"/>
          <w:lang w:eastAsia="es-ES"/>
        </w:rPr>
        <w:t>neutro</w:t>
      </w:r>
      <w:r w:rsidRPr="00526A49">
        <w:rPr>
          <w:rFonts w:eastAsia="Times New Roman" w:cstheme="minorHAnsi"/>
          <w:sz w:val="24"/>
          <w:szCs w:val="24"/>
          <w:lang w:eastAsia="es-ES"/>
        </w:rPr>
        <w:t>-psicofisiológicos.</w:t>
      </w:r>
    </w:p>
    <w:p w14:paraId="68351B93" w14:textId="77777777" w:rsidR="00706AED" w:rsidRPr="00526A49" w:rsidRDefault="00706AED" w:rsidP="00526A49">
      <w:pPr>
        <w:spacing w:after="0"/>
        <w:jc w:val="both"/>
        <w:rPr>
          <w:rFonts w:eastAsia="Times New Roman" w:cstheme="minorHAnsi"/>
          <w:sz w:val="24"/>
          <w:szCs w:val="24"/>
          <w:lang w:eastAsia="es-ES"/>
        </w:rPr>
      </w:pPr>
    </w:p>
    <w:p w14:paraId="586FD5EE" w14:textId="77777777" w:rsidR="00706AED" w:rsidRPr="00526A49" w:rsidRDefault="00706AED" w:rsidP="00526A49">
      <w:pPr>
        <w:spacing w:after="0"/>
        <w:jc w:val="both"/>
        <w:rPr>
          <w:rFonts w:eastAsia="Times New Roman" w:cstheme="minorHAnsi"/>
          <w:sz w:val="24"/>
          <w:szCs w:val="24"/>
          <w:lang w:eastAsia="es-ES"/>
        </w:rPr>
      </w:pPr>
    </w:p>
    <w:p w14:paraId="556EEB25" w14:textId="77777777"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4" w:name="_Toc80133801"/>
      <w:r w:rsidRPr="00526A49">
        <w:rPr>
          <w:rFonts w:asciiTheme="minorHAnsi" w:eastAsia="Times New Roman" w:hAnsiTheme="minorHAnsi" w:cstheme="minorHAnsi"/>
          <w:b/>
          <w:color w:val="auto"/>
          <w:sz w:val="24"/>
          <w:szCs w:val="24"/>
          <w:lang w:eastAsia="es-ES"/>
        </w:rPr>
        <w:t>4.</w:t>
      </w:r>
      <w:r w:rsidRPr="00526A49">
        <w:rPr>
          <w:rFonts w:asciiTheme="minorHAnsi" w:eastAsia="Times New Roman" w:hAnsiTheme="minorHAnsi" w:cstheme="minorHAnsi"/>
          <w:b/>
          <w:color w:val="auto"/>
          <w:sz w:val="24"/>
          <w:szCs w:val="24"/>
          <w:lang w:eastAsia="es-ES"/>
        </w:rPr>
        <w:tab/>
        <w:t>RESPONSABLES:</w:t>
      </w:r>
      <w:bookmarkEnd w:id="4"/>
    </w:p>
    <w:p w14:paraId="7817B2CD" w14:textId="77777777" w:rsidR="00FA08BA" w:rsidRPr="00526A49" w:rsidRDefault="00FA08BA" w:rsidP="00526A49">
      <w:pPr>
        <w:pStyle w:val="Sinespaciado"/>
        <w:spacing w:line="276" w:lineRule="auto"/>
        <w:jc w:val="both"/>
        <w:rPr>
          <w:rFonts w:cstheme="minorHAnsi"/>
          <w:sz w:val="24"/>
          <w:szCs w:val="24"/>
        </w:rPr>
      </w:pPr>
      <w:r w:rsidRPr="00526A49">
        <w:rPr>
          <w:rFonts w:cstheme="minorHAnsi"/>
          <w:sz w:val="24"/>
          <w:szCs w:val="24"/>
        </w:rPr>
        <w:t xml:space="preserve">Líder de procedimiento: Sub Gerente Científico </w:t>
      </w:r>
    </w:p>
    <w:p w14:paraId="40334DEC" w14:textId="77777777" w:rsidR="00FA08BA" w:rsidRPr="00526A49" w:rsidRDefault="00FA08BA" w:rsidP="00526A49">
      <w:pPr>
        <w:pStyle w:val="Sinespaciado"/>
        <w:spacing w:line="276" w:lineRule="auto"/>
        <w:jc w:val="both"/>
        <w:rPr>
          <w:rFonts w:cstheme="minorHAnsi"/>
          <w:sz w:val="24"/>
          <w:szCs w:val="24"/>
        </w:rPr>
      </w:pPr>
      <w:r w:rsidRPr="00526A49">
        <w:rPr>
          <w:rFonts w:cstheme="minorHAnsi"/>
          <w:sz w:val="24"/>
          <w:szCs w:val="24"/>
        </w:rPr>
        <w:t xml:space="preserve">1. Químico Farmacéutico. </w:t>
      </w:r>
    </w:p>
    <w:p w14:paraId="0B411C7F" w14:textId="77777777" w:rsidR="00FA08BA" w:rsidRPr="00526A49" w:rsidRDefault="00FA08BA" w:rsidP="00526A49">
      <w:pPr>
        <w:pStyle w:val="Sinespaciado"/>
        <w:spacing w:line="276" w:lineRule="auto"/>
        <w:jc w:val="both"/>
        <w:rPr>
          <w:rFonts w:cstheme="minorHAnsi"/>
          <w:sz w:val="24"/>
          <w:szCs w:val="24"/>
        </w:rPr>
      </w:pPr>
      <w:r w:rsidRPr="00526A49">
        <w:rPr>
          <w:rFonts w:cstheme="minorHAnsi"/>
          <w:sz w:val="24"/>
          <w:szCs w:val="24"/>
        </w:rPr>
        <w:t xml:space="preserve">2. Regente en farmacia. </w:t>
      </w:r>
    </w:p>
    <w:p w14:paraId="5BEEEBBB" w14:textId="77777777" w:rsidR="00FA08BA" w:rsidRPr="00526A49" w:rsidRDefault="00FA08BA" w:rsidP="00526A49">
      <w:pPr>
        <w:pStyle w:val="Sinespaciado"/>
        <w:spacing w:line="276" w:lineRule="auto"/>
        <w:jc w:val="both"/>
        <w:rPr>
          <w:rFonts w:cstheme="minorHAnsi"/>
          <w:sz w:val="24"/>
          <w:szCs w:val="24"/>
        </w:rPr>
      </w:pPr>
      <w:r w:rsidRPr="00526A49">
        <w:rPr>
          <w:rFonts w:cstheme="minorHAnsi"/>
          <w:sz w:val="24"/>
          <w:szCs w:val="24"/>
        </w:rPr>
        <w:t>3. Auxiliar de Servicios farmacéuticos.</w:t>
      </w:r>
    </w:p>
    <w:p w14:paraId="352D1742" w14:textId="77777777" w:rsidR="00FA08BA" w:rsidRPr="00526A49" w:rsidRDefault="00FA08BA" w:rsidP="00526A49">
      <w:pPr>
        <w:spacing w:after="0"/>
        <w:jc w:val="both"/>
        <w:rPr>
          <w:rFonts w:eastAsia="Times New Roman" w:cstheme="minorHAnsi"/>
          <w:sz w:val="24"/>
          <w:szCs w:val="24"/>
          <w:lang w:eastAsia="es-ES"/>
        </w:rPr>
      </w:pPr>
    </w:p>
    <w:p w14:paraId="1DE21C6A" w14:textId="77777777" w:rsidR="00706AED" w:rsidRPr="00526A49" w:rsidRDefault="00706AED" w:rsidP="00526A49">
      <w:pPr>
        <w:spacing w:after="0"/>
        <w:jc w:val="both"/>
        <w:rPr>
          <w:rFonts w:eastAsia="Times New Roman" w:cstheme="minorHAnsi"/>
          <w:sz w:val="24"/>
          <w:szCs w:val="24"/>
          <w:lang w:eastAsia="es-ES"/>
        </w:rPr>
      </w:pPr>
    </w:p>
    <w:p w14:paraId="0668D565" w14:textId="77777777"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5" w:name="_Toc80133802"/>
      <w:r w:rsidRPr="00526A49">
        <w:rPr>
          <w:rFonts w:asciiTheme="minorHAnsi" w:eastAsia="Times New Roman" w:hAnsiTheme="minorHAnsi" w:cstheme="minorHAnsi"/>
          <w:b/>
          <w:color w:val="auto"/>
          <w:sz w:val="24"/>
          <w:szCs w:val="24"/>
          <w:lang w:eastAsia="es-ES"/>
        </w:rPr>
        <w:t>5.</w:t>
      </w:r>
      <w:r w:rsidRPr="00526A49">
        <w:rPr>
          <w:rFonts w:asciiTheme="minorHAnsi" w:eastAsia="Times New Roman" w:hAnsiTheme="minorHAnsi" w:cstheme="minorHAnsi"/>
          <w:b/>
          <w:color w:val="auto"/>
          <w:sz w:val="24"/>
          <w:szCs w:val="24"/>
          <w:lang w:eastAsia="es-ES"/>
        </w:rPr>
        <w:tab/>
        <w:t>CONDICIONES GENERALES:</w:t>
      </w:r>
      <w:bookmarkEnd w:id="5"/>
    </w:p>
    <w:p w14:paraId="7ECF30B8" w14:textId="77777777" w:rsidR="00706AED" w:rsidRPr="00526A49" w:rsidRDefault="00706AED" w:rsidP="00526A49">
      <w:pPr>
        <w:spacing w:after="0"/>
        <w:jc w:val="both"/>
        <w:rPr>
          <w:rFonts w:eastAsia="Times New Roman" w:cstheme="minorHAnsi"/>
          <w:sz w:val="24"/>
          <w:szCs w:val="24"/>
          <w:lang w:eastAsia="es-ES"/>
        </w:rPr>
      </w:pPr>
    </w:p>
    <w:p w14:paraId="56AF0A0A" w14:textId="77777777" w:rsidR="00706AED" w:rsidRPr="00526A49" w:rsidRDefault="00706AED" w:rsidP="00526A49">
      <w:pPr>
        <w:spacing w:after="0"/>
        <w:jc w:val="both"/>
        <w:rPr>
          <w:rFonts w:eastAsia="Times New Roman" w:cstheme="minorHAnsi"/>
          <w:b/>
          <w:sz w:val="24"/>
          <w:szCs w:val="24"/>
          <w:lang w:eastAsia="es-ES"/>
        </w:rPr>
      </w:pPr>
      <w:r w:rsidRPr="00526A49">
        <w:rPr>
          <w:rFonts w:eastAsia="Times New Roman" w:cstheme="minorHAnsi"/>
          <w:b/>
          <w:sz w:val="24"/>
          <w:szCs w:val="24"/>
          <w:lang w:eastAsia="es-ES"/>
        </w:rPr>
        <w:t xml:space="preserve">RECETARIO ESPECIAL PARA MEDICAMENTOS DE CONTROL </w:t>
      </w:r>
    </w:p>
    <w:p w14:paraId="1420F614"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La fórmula médica debe contener los siguientes datos teniendo en cuenta las normas de prescripción: </w:t>
      </w:r>
    </w:p>
    <w:p w14:paraId="4F8D2BF1"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Nombre del médico, general o especialista, especialidad, documento de identidad, </w:t>
      </w:r>
      <w:r w:rsidR="00D43B65" w:rsidRPr="00526A49">
        <w:rPr>
          <w:rFonts w:eastAsia="Times New Roman" w:cstheme="minorHAnsi"/>
          <w:sz w:val="24"/>
          <w:szCs w:val="24"/>
          <w:lang w:eastAsia="es-ES"/>
        </w:rPr>
        <w:t>resolución</w:t>
      </w:r>
      <w:r w:rsidRPr="00526A49">
        <w:rPr>
          <w:rFonts w:eastAsia="Times New Roman" w:cstheme="minorHAnsi"/>
          <w:sz w:val="24"/>
          <w:szCs w:val="24"/>
          <w:lang w:eastAsia="es-ES"/>
        </w:rPr>
        <w:t xml:space="preserve"> por la que se autoriza el ejercicio de la </w:t>
      </w:r>
      <w:r w:rsidR="00D43B65" w:rsidRPr="00526A49">
        <w:rPr>
          <w:rFonts w:eastAsia="Times New Roman" w:cstheme="minorHAnsi"/>
          <w:sz w:val="24"/>
          <w:szCs w:val="24"/>
          <w:lang w:eastAsia="es-ES"/>
        </w:rPr>
        <w:t>profesión</w:t>
      </w:r>
      <w:r w:rsidRPr="00526A49">
        <w:rPr>
          <w:rFonts w:eastAsia="Times New Roman" w:cstheme="minorHAnsi"/>
          <w:sz w:val="24"/>
          <w:szCs w:val="24"/>
          <w:lang w:eastAsia="es-ES"/>
        </w:rPr>
        <w:t xml:space="preserve">, firma, </w:t>
      </w:r>
      <w:r w:rsidR="00D43B65" w:rsidRPr="00526A49">
        <w:rPr>
          <w:rFonts w:eastAsia="Times New Roman" w:cstheme="minorHAnsi"/>
          <w:sz w:val="24"/>
          <w:szCs w:val="24"/>
          <w:lang w:eastAsia="es-ES"/>
        </w:rPr>
        <w:t>teléfono</w:t>
      </w:r>
      <w:r w:rsidRPr="00526A49">
        <w:rPr>
          <w:rFonts w:eastAsia="Times New Roman" w:cstheme="minorHAnsi"/>
          <w:sz w:val="24"/>
          <w:szCs w:val="24"/>
          <w:lang w:eastAsia="es-ES"/>
        </w:rPr>
        <w:t xml:space="preserve">, </w:t>
      </w:r>
      <w:r w:rsidR="00D43B65" w:rsidRPr="00526A49">
        <w:rPr>
          <w:rFonts w:eastAsia="Times New Roman" w:cstheme="minorHAnsi"/>
          <w:sz w:val="24"/>
          <w:szCs w:val="24"/>
          <w:lang w:eastAsia="es-ES"/>
        </w:rPr>
        <w:t>institución</w:t>
      </w:r>
      <w:r w:rsidRPr="00526A49">
        <w:rPr>
          <w:rFonts w:eastAsia="Times New Roman" w:cstheme="minorHAnsi"/>
          <w:sz w:val="24"/>
          <w:szCs w:val="24"/>
          <w:lang w:eastAsia="es-ES"/>
        </w:rPr>
        <w:t xml:space="preserve"> en la que labora, </w:t>
      </w:r>
      <w:r w:rsidR="00D43B65" w:rsidRPr="00526A49">
        <w:rPr>
          <w:rFonts w:eastAsia="Times New Roman" w:cstheme="minorHAnsi"/>
          <w:sz w:val="24"/>
          <w:szCs w:val="24"/>
          <w:lang w:eastAsia="es-ES"/>
        </w:rPr>
        <w:t>dirección</w:t>
      </w:r>
      <w:r w:rsidRPr="00526A49">
        <w:rPr>
          <w:rFonts w:eastAsia="Times New Roman" w:cstheme="minorHAnsi"/>
          <w:sz w:val="24"/>
          <w:szCs w:val="24"/>
          <w:lang w:eastAsia="es-ES"/>
        </w:rPr>
        <w:t xml:space="preserve"> y ciudad. </w:t>
      </w:r>
    </w:p>
    <w:p w14:paraId="75DB8BBF"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Fecha de prescripción. </w:t>
      </w:r>
    </w:p>
    <w:p w14:paraId="028D1E5E"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Nombre del paciente, número del documento de Identificación, edad, sexo, dirección, teléfono, municipio, departamento, afiliación a la S.G.S.S.S. </w:t>
      </w:r>
    </w:p>
    <w:p w14:paraId="7AD2B8E9"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Nombre genérico del medicamento, forma farmacéutica, Concentración, dosis, vía de administración, cantidad prescrita (números/letras), tiempo de tratamiento y diagnóstico. </w:t>
      </w:r>
    </w:p>
    <w:p w14:paraId="010CCEC4"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Apellidos y Nombre de quien recibe, No. De Documento de identidad, firma. </w:t>
      </w:r>
    </w:p>
    <w:p w14:paraId="6364F304"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Apellidos y Nombre de quien dispensa, No. De Documento de identidad, firma. </w:t>
      </w:r>
    </w:p>
    <w:p w14:paraId="32CBDB0A" w14:textId="77777777" w:rsidR="00706AED" w:rsidRPr="00526A49" w:rsidRDefault="00706AED" w:rsidP="00526A49">
      <w:pPr>
        <w:pStyle w:val="Prrafodelista"/>
        <w:numPr>
          <w:ilvl w:val="0"/>
          <w:numId w:val="11"/>
        </w:num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Establecimiento minorista, dirección y fecha del despacho (DD/MM/AA). </w:t>
      </w:r>
    </w:p>
    <w:p w14:paraId="519ED3DE" w14:textId="77777777" w:rsidR="00706AED" w:rsidRPr="00526A49" w:rsidRDefault="00706AED" w:rsidP="00526A49">
      <w:pPr>
        <w:spacing w:after="0"/>
        <w:jc w:val="both"/>
        <w:rPr>
          <w:rFonts w:eastAsia="Times New Roman" w:cstheme="minorHAnsi"/>
          <w:sz w:val="24"/>
          <w:szCs w:val="24"/>
          <w:lang w:eastAsia="es-ES"/>
        </w:rPr>
      </w:pPr>
    </w:p>
    <w:p w14:paraId="5532BF31"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lastRenderedPageBreak/>
        <w:t xml:space="preserve">Para la adquisición de medicamentos de control que son Monopolio del Estado este se adquieren en el Fondo Rotatorio Departamental de Estupefacientes de la Secretaria de Salud. </w:t>
      </w:r>
    </w:p>
    <w:p w14:paraId="16DDA8F3" w14:textId="77777777" w:rsidR="00706AED" w:rsidRPr="00526A49" w:rsidRDefault="00706AED" w:rsidP="00526A49">
      <w:pPr>
        <w:spacing w:after="0"/>
        <w:jc w:val="both"/>
        <w:rPr>
          <w:rFonts w:eastAsia="Times New Roman" w:cstheme="minorHAnsi"/>
          <w:sz w:val="24"/>
          <w:szCs w:val="24"/>
          <w:lang w:eastAsia="es-ES"/>
        </w:rPr>
      </w:pPr>
    </w:p>
    <w:p w14:paraId="50A72634"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En el almacenamiento de medicamentos de control en neveras, el acceso a estas será único y exclusivo del Químico Farmacéutico, Regente del servicio y el Técnico del servicio farmacéutico. </w:t>
      </w:r>
    </w:p>
    <w:p w14:paraId="37716E03"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La compra y custodio de los recetarios oficiales será responsabilidad de la Subgerencia Científica de la E.S.E Hospital Materno Infantil Ciudadela Metropolitana de Soledad </w:t>
      </w:r>
    </w:p>
    <w:p w14:paraId="159629C2" w14:textId="77777777" w:rsidR="00706AED"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Nota:</w:t>
      </w:r>
      <w:r w:rsidRPr="00526A49">
        <w:rPr>
          <w:rFonts w:eastAsia="Times New Roman" w:cstheme="minorHAnsi"/>
          <w:sz w:val="24"/>
          <w:szCs w:val="24"/>
          <w:lang w:eastAsia="es-ES"/>
        </w:rPr>
        <w:t xml:space="preserve"> Los medicamentos de </w:t>
      </w:r>
      <w:r w:rsidR="00FA08BA" w:rsidRPr="00526A49">
        <w:rPr>
          <w:rFonts w:eastAsia="Times New Roman" w:cstheme="minorHAnsi"/>
          <w:sz w:val="24"/>
          <w:szCs w:val="24"/>
          <w:lang w:eastAsia="es-ES"/>
        </w:rPr>
        <w:t>Control Especial</w:t>
      </w:r>
      <w:r w:rsidRPr="00526A49">
        <w:rPr>
          <w:rFonts w:eastAsia="Times New Roman" w:cstheme="minorHAnsi"/>
          <w:sz w:val="24"/>
          <w:szCs w:val="24"/>
          <w:lang w:eastAsia="es-ES"/>
        </w:rPr>
        <w:t xml:space="preserve"> vencidos y deteriorados se deben almacenar en el área de medicamentos vencidos y se esperará acumular un Kilogramo de medicamentos para proceder a notificar a la secretaria de Salud (ANEXO 6 Resolucion1478 de 2006)y a la empresa encargada de recogerlos para la destrucción y desnaturalización de estos.</w:t>
      </w:r>
    </w:p>
    <w:p w14:paraId="3CCCA196" w14:textId="37C94678" w:rsidR="00706AED" w:rsidRPr="00526A49" w:rsidRDefault="00706AED" w:rsidP="00526A49">
      <w:pPr>
        <w:spacing w:after="0"/>
        <w:jc w:val="both"/>
        <w:rPr>
          <w:rFonts w:eastAsia="Times New Roman" w:cstheme="minorHAnsi"/>
          <w:sz w:val="24"/>
          <w:szCs w:val="24"/>
          <w:lang w:eastAsia="es-ES"/>
        </w:rPr>
      </w:pPr>
    </w:p>
    <w:p w14:paraId="3FA13665" w14:textId="77777777" w:rsidR="00526A49" w:rsidRPr="00526A49" w:rsidRDefault="00526A49" w:rsidP="00526A49">
      <w:pPr>
        <w:spacing w:after="0"/>
        <w:jc w:val="both"/>
        <w:rPr>
          <w:rFonts w:eastAsia="Times New Roman" w:cstheme="minorHAnsi"/>
          <w:sz w:val="24"/>
          <w:szCs w:val="24"/>
          <w:lang w:eastAsia="es-ES"/>
        </w:rPr>
      </w:pPr>
    </w:p>
    <w:p w14:paraId="115FD47B" w14:textId="77777777"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6" w:name="_Toc80133803"/>
      <w:r w:rsidRPr="00526A49">
        <w:rPr>
          <w:rFonts w:asciiTheme="minorHAnsi" w:eastAsia="Times New Roman" w:hAnsiTheme="minorHAnsi" w:cstheme="minorHAnsi"/>
          <w:b/>
          <w:color w:val="auto"/>
          <w:sz w:val="24"/>
          <w:szCs w:val="24"/>
          <w:lang w:eastAsia="es-ES"/>
        </w:rPr>
        <w:t>6.</w:t>
      </w:r>
      <w:r w:rsidRPr="00526A49">
        <w:rPr>
          <w:rFonts w:asciiTheme="minorHAnsi" w:eastAsia="Times New Roman" w:hAnsiTheme="minorHAnsi" w:cstheme="minorHAnsi"/>
          <w:b/>
          <w:color w:val="auto"/>
          <w:sz w:val="24"/>
          <w:szCs w:val="24"/>
          <w:lang w:eastAsia="es-ES"/>
        </w:rPr>
        <w:tab/>
        <w:t>DESARROLLO</w:t>
      </w:r>
      <w:bookmarkEnd w:id="6"/>
    </w:p>
    <w:p w14:paraId="26940906" w14:textId="77777777" w:rsidR="00706AED" w:rsidRPr="00526A49" w:rsidRDefault="00706AED" w:rsidP="00526A49">
      <w:pPr>
        <w:spacing w:after="0"/>
        <w:jc w:val="both"/>
        <w:rPr>
          <w:rFonts w:eastAsia="Times New Roman" w:cstheme="minorHAnsi"/>
          <w:sz w:val="24"/>
          <w:szCs w:val="24"/>
          <w:lang w:eastAsia="es-ES"/>
        </w:rPr>
      </w:pPr>
    </w:p>
    <w:tbl>
      <w:tblPr>
        <w:tblStyle w:val="Tablaconcuadrcula"/>
        <w:tblW w:w="10065" w:type="dxa"/>
        <w:tblInd w:w="-431" w:type="dxa"/>
        <w:tblLook w:val="04A0" w:firstRow="1" w:lastRow="0" w:firstColumn="1" w:lastColumn="0" w:noHBand="0" w:noVBand="1"/>
      </w:tblPr>
      <w:tblGrid>
        <w:gridCol w:w="726"/>
        <w:gridCol w:w="4126"/>
        <w:gridCol w:w="2205"/>
        <w:gridCol w:w="3008"/>
      </w:tblGrid>
      <w:tr w:rsidR="00526A49" w:rsidRPr="00526A49" w14:paraId="7077F325" w14:textId="77777777" w:rsidTr="00FA08BA">
        <w:tc>
          <w:tcPr>
            <w:tcW w:w="710" w:type="dxa"/>
            <w:vAlign w:val="center"/>
          </w:tcPr>
          <w:p w14:paraId="182AE2C7" w14:textId="77777777" w:rsidR="00706AED" w:rsidRPr="00526A49" w:rsidRDefault="00706AED" w:rsidP="00526A49">
            <w:pPr>
              <w:spacing w:line="276" w:lineRule="auto"/>
              <w:jc w:val="center"/>
              <w:rPr>
                <w:rFonts w:eastAsia="Times New Roman" w:cstheme="minorHAnsi"/>
                <w:b/>
                <w:sz w:val="24"/>
                <w:szCs w:val="24"/>
                <w:lang w:eastAsia="es-ES"/>
              </w:rPr>
            </w:pPr>
            <w:r w:rsidRPr="00526A49">
              <w:rPr>
                <w:rFonts w:eastAsia="Times New Roman" w:cstheme="minorHAnsi"/>
                <w:b/>
                <w:sz w:val="24"/>
                <w:szCs w:val="24"/>
                <w:lang w:eastAsia="es-ES"/>
              </w:rPr>
              <w:t>ITEM</w:t>
            </w:r>
          </w:p>
        </w:tc>
        <w:tc>
          <w:tcPr>
            <w:tcW w:w="4135" w:type="dxa"/>
            <w:vAlign w:val="center"/>
          </w:tcPr>
          <w:p w14:paraId="404ABD97" w14:textId="77777777" w:rsidR="00706AED" w:rsidRPr="00526A49" w:rsidRDefault="00706AED" w:rsidP="00526A49">
            <w:pPr>
              <w:spacing w:line="276" w:lineRule="auto"/>
              <w:jc w:val="center"/>
              <w:rPr>
                <w:rFonts w:eastAsia="Times New Roman" w:cstheme="minorHAnsi"/>
                <w:b/>
                <w:sz w:val="24"/>
                <w:szCs w:val="24"/>
                <w:lang w:eastAsia="es-ES"/>
              </w:rPr>
            </w:pPr>
            <w:r w:rsidRPr="00526A49">
              <w:rPr>
                <w:rFonts w:eastAsia="Times New Roman" w:cstheme="minorHAnsi"/>
                <w:b/>
                <w:sz w:val="24"/>
                <w:szCs w:val="24"/>
                <w:lang w:eastAsia="es-ES"/>
              </w:rPr>
              <w:t>ACTIVIDAD</w:t>
            </w:r>
          </w:p>
        </w:tc>
        <w:tc>
          <w:tcPr>
            <w:tcW w:w="2207" w:type="dxa"/>
            <w:vAlign w:val="center"/>
          </w:tcPr>
          <w:p w14:paraId="0E5826C5" w14:textId="77777777" w:rsidR="00706AED" w:rsidRPr="00526A49" w:rsidRDefault="00706AED" w:rsidP="00526A49">
            <w:pPr>
              <w:spacing w:line="276" w:lineRule="auto"/>
              <w:jc w:val="center"/>
              <w:rPr>
                <w:rFonts w:eastAsia="Times New Roman" w:cstheme="minorHAnsi"/>
                <w:b/>
                <w:sz w:val="24"/>
                <w:szCs w:val="24"/>
                <w:lang w:eastAsia="es-ES"/>
              </w:rPr>
            </w:pPr>
            <w:r w:rsidRPr="00526A49">
              <w:rPr>
                <w:rFonts w:eastAsia="Times New Roman" w:cstheme="minorHAnsi"/>
                <w:b/>
                <w:sz w:val="24"/>
                <w:szCs w:val="24"/>
                <w:lang w:eastAsia="es-ES"/>
              </w:rPr>
              <w:t>RESPONSABLE</w:t>
            </w:r>
          </w:p>
        </w:tc>
        <w:tc>
          <w:tcPr>
            <w:tcW w:w="3013" w:type="dxa"/>
            <w:vAlign w:val="center"/>
          </w:tcPr>
          <w:p w14:paraId="66D41008" w14:textId="77777777" w:rsidR="00706AED" w:rsidRPr="00526A49" w:rsidRDefault="00706AED" w:rsidP="00526A49">
            <w:pPr>
              <w:spacing w:line="276" w:lineRule="auto"/>
              <w:jc w:val="center"/>
              <w:rPr>
                <w:rFonts w:eastAsia="Times New Roman" w:cstheme="minorHAnsi"/>
                <w:b/>
                <w:sz w:val="24"/>
                <w:szCs w:val="24"/>
                <w:lang w:eastAsia="es-ES"/>
              </w:rPr>
            </w:pPr>
            <w:r w:rsidRPr="00526A49">
              <w:rPr>
                <w:rFonts w:eastAsia="Times New Roman" w:cstheme="minorHAnsi"/>
                <w:b/>
                <w:sz w:val="24"/>
                <w:szCs w:val="24"/>
                <w:lang w:eastAsia="es-ES"/>
              </w:rPr>
              <w:t>DOCUMENTO y/o REGISTROS</w:t>
            </w:r>
          </w:p>
        </w:tc>
      </w:tr>
      <w:tr w:rsidR="00526A49" w:rsidRPr="00526A49" w14:paraId="1DFE0B22" w14:textId="77777777" w:rsidTr="00FA08BA">
        <w:tc>
          <w:tcPr>
            <w:tcW w:w="710" w:type="dxa"/>
            <w:vAlign w:val="center"/>
          </w:tcPr>
          <w:p w14:paraId="44B7D664"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1.</w:t>
            </w:r>
          </w:p>
        </w:tc>
        <w:tc>
          <w:tcPr>
            <w:tcW w:w="4135" w:type="dxa"/>
            <w:vAlign w:val="center"/>
          </w:tcPr>
          <w:p w14:paraId="5BA88F38"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Adquisición: Seguir procedimiento de adquisición de medicamentos y dispositivos médicos.</w:t>
            </w:r>
          </w:p>
        </w:tc>
        <w:tc>
          <w:tcPr>
            <w:tcW w:w="2207" w:type="dxa"/>
            <w:vAlign w:val="center"/>
          </w:tcPr>
          <w:p w14:paraId="6C8B4FD3"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Comité de Compras.</w:t>
            </w:r>
          </w:p>
        </w:tc>
        <w:tc>
          <w:tcPr>
            <w:tcW w:w="3013" w:type="dxa"/>
            <w:vAlign w:val="center"/>
          </w:tcPr>
          <w:p w14:paraId="378254DA"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Procedimiento de Adquisición de medicamentos y dispositivos médicos.</w:t>
            </w:r>
          </w:p>
        </w:tc>
      </w:tr>
      <w:tr w:rsidR="00526A49" w:rsidRPr="00526A49" w14:paraId="087A3FB9" w14:textId="77777777" w:rsidTr="00FA08BA">
        <w:tc>
          <w:tcPr>
            <w:tcW w:w="710" w:type="dxa"/>
            <w:vAlign w:val="center"/>
          </w:tcPr>
          <w:p w14:paraId="35FDEC5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2.</w:t>
            </w:r>
          </w:p>
        </w:tc>
        <w:tc>
          <w:tcPr>
            <w:tcW w:w="4135" w:type="dxa"/>
            <w:vAlign w:val="center"/>
          </w:tcPr>
          <w:p w14:paraId="695FDEE0"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Recepción: La recepción de los medicamentos de control especial debe seguir el procedimiento de recepción técnica y administrativa y adicionalmente realizar el registro en el libro de control de medicamentos.</w:t>
            </w:r>
          </w:p>
        </w:tc>
        <w:tc>
          <w:tcPr>
            <w:tcW w:w="2207" w:type="dxa"/>
            <w:vAlign w:val="center"/>
          </w:tcPr>
          <w:p w14:paraId="1DF63675"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Técnico del servicio farmacéutico. Regente del servicio farmacéutico.</w:t>
            </w:r>
          </w:p>
        </w:tc>
        <w:tc>
          <w:tcPr>
            <w:tcW w:w="3013" w:type="dxa"/>
            <w:vAlign w:val="center"/>
          </w:tcPr>
          <w:p w14:paraId="0993DC6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Orden de Pedido. Copia de la remisión. Procedimiento de  recepción almacenamiento y conservación del servicio farmacéutico</w:t>
            </w:r>
          </w:p>
        </w:tc>
      </w:tr>
      <w:tr w:rsidR="00526A49" w:rsidRPr="00526A49" w14:paraId="625E46B3" w14:textId="77777777" w:rsidTr="00FA08BA">
        <w:tc>
          <w:tcPr>
            <w:tcW w:w="710" w:type="dxa"/>
            <w:vAlign w:val="center"/>
          </w:tcPr>
          <w:p w14:paraId="54EB3E73"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3.</w:t>
            </w:r>
          </w:p>
        </w:tc>
        <w:tc>
          <w:tcPr>
            <w:tcW w:w="4135" w:type="dxa"/>
            <w:vAlign w:val="center"/>
          </w:tcPr>
          <w:p w14:paraId="5FC79BFD"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 xml:space="preserve">Almacenamiento. Deben ser almacenados de manera independiente, diferenciada y señalada, en un área </w:t>
            </w:r>
            <w:r w:rsidRPr="00526A49">
              <w:rPr>
                <w:rFonts w:eastAsia="Times New Roman" w:cstheme="minorHAnsi"/>
                <w:sz w:val="24"/>
                <w:szCs w:val="24"/>
                <w:lang w:eastAsia="es-ES"/>
              </w:rPr>
              <w:lastRenderedPageBreak/>
              <w:t xml:space="preserve">limpia y ordenada, bajo estrictas condiciones de seguridad (Bajo llave) incluyendo los medicamentos de control que requieran refrigeración </w:t>
            </w:r>
            <w:r w:rsidR="00FA08BA" w:rsidRPr="00526A49">
              <w:rPr>
                <w:rFonts w:eastAsia="Times New Roman" w:cstheme="minorHAnsi"/>
                <w:sz w:val="24"/>
                <w:szCs w:val="24"/>
                <w:lang w:eastAsia="es-ES"/>
              </w:rPr>
              <w:t>según parámetros</w:t>
            </w:r>
            <w:r w:rsidRPr="00526A49">
              <w:rPr>
                <w:rFonts w:eastAsia="Times New Roman" w:cstheme="minorHAnsi"/>
                <w:sz w:val="24"/>
                <w:szCs w:val="24"/>
                <w:lang w:eastAsia="es-ES"/>
              </w:rPr>
              <w:t xml:space="preserve"> indicados en el procedimiento de almacenamiento de medicamentos.</w:t>
            </w:r>
          </w:p>
        </w:tc>
        <w:tc>
          <w:tcPr>
            <w:tcW w:w="2207" w:type="dxa"/>
            <w:vAlign w:val="center"/>
          </w:tcPr>
          <w:p w14:paraId="07B82D6D"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lastRenderedPageBreak/>
              <w:t xml:space="preserve">Químico Farmacéutico, Técnico del servicio </w:t>
            </w:r>
            <w:r w:rsidRPr="00526A49">
              <w:rPr>
                <w:rFonts w:eastAsia="Times New Roman" w:cstheme="minorHAnsi"/>
                <w:sz w:val="24"/>
                <w:szCs w:val="24"/>
                <w:lang w:eastAsia="es-ES"/>
              </w:rPr>
              <w:lastRenderedPageBreak/>
              <w:t>farmacéutico. Regente del servicio farmacéutico.</w:t>
            </w:r>
          </w:p>
        </w:tc>
        <w:tc>
          <w:tcPr>
            <w:tcW w:w="3013" w:type="dxa"/>
            <w:vAlign w:val="center"/>
          </w:tcPr>
          <w:p w14:paraId="3FB3736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lastRenderedPageBreak/>
              <w:t xml:space="preserve">Procedimiento </w:t>
            </w:r>
            <w:r w:rsidR="00FA08BA" w:rsidRPr="00526A49">
              <w:rPr>
                <w:rFonts w:eastAsia="Times New Roman" w:cstheme="minorHAnsi"/>
                <w:sz w:val="24"/>
                <w:szCs w:val="24"/>
                <w:lang w:eastAsia="es-ES"/>
              </w:rPr>
              <w:t>de recepción</w:t>
            </w:r>
            <w:r w:rsidRPr="00526A49">
              <w:rPr>
                <w:rFonts w:eastAsia="Times New Roman" w:cstheme="minorHAnsi"/>
                <w:sz w:val="24"/>
                <w:szCs w:val="24"/>
                <w:lang w:eastAsia="es-ES"/>
              </w:rPr>
              <w:t xml:space="preserve"> almacenamiento y conservación del servicio </w:t>
            </w:r>
            <w:r w:rsidRPr="00526A49">
              <w:rPr>
                <w:rFonts w:eastAsia="Times New Roman" w:cstheme="minorHAnsi"/>
                <w:sz w:val="24"/>
                <w:szCs w:val="24"/>
                <w:lang w:eastAsia="es-ES"/>
              </w:rPr>
              <w:lastRenderedPageBreak/>
              <w:t>farmacéutico Formato de Registro de Factores ambientales. Consolidado.</w:t>
            </w:r>
          </w:p>
        </w:tc>
      </w:tr>
      <w:tr w:rsidR="00526A49" w:rsidRPr="00526A49" w14:paraId="4BA52F86" w14:textId="77777777" w:rsidTr="00FA08BA">
        <w:tc>
          <w:tcPr>
            <w:tcW w:w="710" w:type="dxa"/>
            <w:vAlign w:val="center"/>
          </w:tcPr>
          <w:p w14:paraId="55CB2189"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lastRenderedPageBreak/>
              <w:t>4.</w:t>
            </w:r>
          </w:p>
        </w:tc>
        <w:tc>
          <w:tcPr>
            <w:tcW w:w="4135" w:type="dxa"/>
            <w:vAlign w:val="center"/>
          </w:tcPr>
          <w:p w14:paraId="6CD25CCF"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Manejo: Para el manejo del inventario de medicamentos de control se llevará un libro en el cual se deberá registrar todos los movimientos en los que intervengan los medicamentos de control especial, los cuales deben mantenerse actualizados con el inventario físico real y serán objeto de auditoría.</w:t>
            </w:r>
          </w:p>
        </w:tc>
        <w:tc>
          <w:tcPr>
            <w:tcW w:w="2207" w:type="dxa"/>
            <w:vAlign w:val="center"/>
          </w:tcPr>
          <w:p w14:paraId="5D3F5B7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62A41421"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Libro de medicamentos de control.</w:t>
            </w:r>
          </w:p>
        </w:tc>
      </w:tr>
      <w:tr w:rsidR="00526A49" w:rsidRPr="00526A49" w14:paraId="53DBD9B2" w14:textId="77777777" w:rsidTr="00FA08BA">
        <w:tc>
          <w:tcPr>
            <w:tcW w:w="710" w:type="dxa"/>
            <w:vAlign w:val="center"/>
          </w:tcPr>
          <w:p w14:paraId="1B1CF2FC"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5.</w:t>
            </w:r>
          </w:p>
        </w:tc>
        <w:tc>
          <w:tcPr>
            <w:tcW w:w="4135" w:type="dxa"/>
            <w:vAlign w:val="center"/>
          </w:tcPr>
          <w:p w14:paraId="40A27614"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Registro: Mediante acta suscrita por el representante legal y Químico Farmacéutico, se dará apertura al registro de movimientos de inventario (Inicio del libro de registro de medicamentos de control especial).</w:t>
            </w:r>
          </w:p>
        </w:tc>
        <w:tc>
          <w:tcPr>
            <w:tcW w:w="2207" w:type="dxa"/>
            <w:vAlign w:val="center"/>
          </w:tcPr>
          <w:p w14:paraId="3398B083"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Representante legal de la E.S.E Químico farmacéutico.</w:t>
            </w:r>
          </w:p>
        </w:tc>
        <w:tc>
          <w:tcPr>
            <w:tcW w:w="3013" w:type="dxa"/>
            <w:vAlign w:val="center"/>
          </w:tcPr>
          <w:p w14:paraId="03B863DD"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Acta de apertura del libro de medicamentos de control especial.</w:t>
            </w:r>
          </w:p>
        </w:tc>
      </w:tr>
      <w:tr w:rsidR="00526A49" w:rsidRPr="00526A49" w14:paraId="49151663" w14:textId="77777777" w:rsidTr="00FA08BA">
        <w:tc>
          <w:tcPr>
            <w:tcW w:w="710" w:type="dxa"/>
            <w:vAlign w:val="center"/>
          </w:tcPr>
          <w:p w14:paraId="343B5549"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6.</w:t>
            </w:r>
          </w:p>
        </w:tc>
        <w:tc>
          <w:tcPr>
            <w:tcW w:w="4135" w:type="dxa"/>
            <w:vAlign w:val="center"/>
          </w:tcPr>
          <w:p w14:paraId="6343A044"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Corrección de errores. En caso de error en el registro de libro de medicamento de control especial no se podrá tachar o enmendar, y se deberá realizar la corrección en el asiento siguiente, aclarando porque el error.</w:t>
            </w:r>
          </w:p>
        </w:tc>
        <w:tc>
          <w:tcPr>
            <w:tcW w:w="2207" w:type="dxa"/>
            <w:vAlign w:val="center"/>
          </w:tcPr>
          <w:p w14:paraId="34684D3C"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2067CC4B"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Libro de medicamentos de control.</w:t>
            </w:r>
          </w:p>
        </w:tc>
      </w:tr>
      <w:tr w:rsidR="00526A49" w:rsidRPr="00526A49" w14:paraId="15792F14" w14:textId="77777777" w:rsidTr="00FA08BA">
        <w:tc>
          <w:tcPr>
            <w:tcW w:w="710" w:type="dxa"/>
            <w:vAlign w:val="center"/>
          </w:tcPr>
          <w:p w14:paraId="4908B63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7.</w:t>
            </w:r>
          </w:p>
        </w:tc>
        <w:tc>
          <w:tcPr>
            <w:tcW w:w="4135" w:type="dxa"/>
            <w:vAlign w:val="center"/>
          </w:tcPr>
          <w:p w14:paraId="6E427B05"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Distribución y transporte: Seguir procedimiento de distribución física y transporte de medicamentos.</w:t>
            </w:r>
          </w:p>
        </w:tc>
        <w:tc>
          <w:tcPr>
            <w:tcW w:w="2207" w:type="dxa"/>
            <w:vAlign w:val="center"/>
          </w:tcPr>
          <w:p w14:paraId="07766D60"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654EA768"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Procedimiento de distribución física y transporte de medicamentos y dispositivos médicos.</w:t>
            </w:r>
          </w:p>
        </w:tc>
      </w:tr>
      <w:tr w:rsidR="00526A49" w:rsidRPr="00526A49" w14:paraId="5A25B7A9" w14:textId="77777777" w:rsidTr="00FA08BA">
        <w:tc>
          <w:tcPr>
            <w:tcW w:w="710" w:type="dxa"/>
            <w:vAlign w:val="center"/>
          </w:tcPr>
          <w:p w14:paraId="650FD420"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lastRenderedPageBreak/>
              <w:t>8.</w:t>
            </w:r>
          </w:p>
        </w:tc>
        <w:tc>
          <w:tcPr>
            <w:tcW w:w="4135" w:type="dxa"/>
            <w:vAlign w:val="center"/>
          </w:tcPr>
          <w:p w14:paraId="2B49C2DE"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Dispensación: Seguir procedimiento de dispensación de medicamentos.</w:t>
            </w:r>
          </w:p>
        </w:tc>
        <w:tc>
          <w:tcPr>
            <w:tcW w:w="2207" w:type="dxa"/>
            <w:vAlign w:val="center"/>
          </w:tcPr>
          <w:p w14:paraId="47C58010"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7ECEAF3D"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Procedimiento de dispensación de medicamentos y dispositivos médicos</w:t>
            </w:r>
          </w:p>
        </w:tc>
      </w:tr>
      <w:tr w:rsidR="00526A49" w:rsidRPr="00526A49" w14:paraId="47EBB8E1" w14:textId="77777777" w:rsidTr="00FA08BA">
        <w:tc>
          <w:tcPr>
            <w:tcW w:w="710" w:type="dxa"/>
            <w:vAlign w:val="center"/>
          </w:tcPr>
          <w:p w14:paraId="7403BC03"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9.</w:t>
            </w:r>
          </w:p>
        </w:tc>
        <w:tc>
          <w:tcPr>
            <w:tcW w:w="4135" w:type="dxa"/>
            <w:vAlign w:val="center"/>
          </w:tcPr>
          <w:p w14:paraId="4E50B553"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 xml:space="preserve">Informes. Los directores técnicos de farmacia de cada centro de salud enviaran informes correspondientes sobre el </w:t>
            </w:r>
            <w:r w:rsidR="00FA08BA" w:rsidRPr="00526A49">
              <w:rPr>
                <w:rFonts w:eastAsia="Times New Roman" w:cstheme="minorHAnsi"/>
                <w:sz w:val="24"/>
                <w:szCs w:val="24"/>
                <w:lang w:eastAsia="es-ES"/>
              </w:rPr>
              <w:t>movimiento respectivo</w:t>
            </w:r>
            <w:r w:rsidRPr="00526A49">
              <w:rPr>
                <w:rFonts w:eastAsia="Times New Roman" w:cstheme="minorHAnsi"/>
                <w:sz w:val="24"/>
                <w:szCs w:val="24"/>
                <w:lang w:eastAsia="es-ES"/>
              </w:rPr>
              <w:t>, los cinco primeros días de cada mes en medio magnético al Fondo Nacional de Estupefacientes.</w:t>
            </w:r>
          </w:p>
        </w:tc>
        <w:tc>
          <w:tcPr>
            <w:tcW w:w="2207" w:type="dxa"/>
            <w:vAlign w:val="center"/>
          </w:tcPr>
          <w:p w14:paraId="09492346"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55DADA0B"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Informe mensual de distribución y/o dispensación de medicamentos de control especial establecimientos minoristas. Informe. Anexo No 13 de la Resolución 1478 de 2006. Informe mensual de distribución y/o dispensación  de medicamento de control especial</w:t>
            </w:r>
          </w:p>
        </w:tc>
      </w:tr>
      <w:tr w:rsidR="00526A49" w:rsidRPr="00526A49" w14:paraId="54295154" w14:textId="77777777" w:rsidTr="00FA08BA">
        <w:tc>
          <w:tcPr>
            <w:tcW w:w="710" w:type="dxa"/>
            <w:vAlign w:val="center"/>
          </w:tcPr>
          <w:p w14:paraId="3920644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10.</w:t>
            </w:r>
          </w:p>
        </w:tc>
        <w:tc>
          <w:tcPr>
            <w:tcW w:w="4135" w:type="dxa"/>
            <w:vAlign w:val="center"/>
          </w:tcPr>
          <w:p w14:paraId="2AB30D9F"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 xml:space="preserve">Informes. Los directores técnicos de farmacia de cada centro de salud enviaran informes correspondientes sobre el </w:t>
            </w:r>
            <w:r w:rsidR="00FA08BA" w:rsidRPr="00526A49">
              <w:rPr>
                <w:rFonts w:eastAsia="Times New Roman" w:cstheme="minorHAnsi"/>
                <w:sz w:val="24"/>
                <w:szCs w:val="24"/>
                <w:lang w:eastAsia="es-ES"/>
              </w:rPr>
              <w:t>movimiento respectivo</w:t>
            </w:r>
            <w:r w:rsidRPr="00526A49">
              <w:rPr>
                <w:rFonts w:eastAsia="Times New Roman" w:cstheme="minorHAnsi"/>
                <w:sz w:val="24"/>
                <w:szCs w:val="24"/>
                <w:lang w:eastAsia="es-ES"/>
              </w:rPr>
              <w:t>, los diez primeros días de cada mes en medio físico al Fondo Nacional de Estupefacientes.</w:t>
            </w:r>
          </w:p>
        </w:tc>
        <w:tc>
          <w:tcPr>
            <w:tcW w:w="2207" w:type="dxa"/>
            <w:vAlign w:val="center"/>
          </w:tcPr>
          <w:p w14:paraId="321E57D7"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511CAD18"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Facturas de entradas de medicamentos de control especial. Formulas originales de medicamentos de control especial</w:t>
            </w:r>
          </w:p>
        </w:tc>
      </w:tr>
      <w:tr w:rsidR="00526A49" w:rsidRPr="00526A49" w14:paraId="0C080C31" w14:textId="77777777" w:rsidTr="00FA08BA">
        <w:tc>
          <w:tcPr>
            <w:tcW w:w="710" w:type="dxa"/>
            <w:vAlign w:val="center"/>
          </w:tcPr>
          <w:p w14:paraId="5021D4AA"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11.</w:t>
            </w:r>
          </w:p>
        </w:tc>
        <w:tc>
          <w:tcPr>
            <w:tcW w:w="4135" w:type="dxa"/>
            <w:vAlign w:val="center"/>
          </w:tcPr>
          <w:p w14:paraId="3CE84CBC"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Vencimiento de medicamentos: Se debe seguir los pasos del procedimiento Control de Fecha de vencimiento de medicamento y dispositivos médicos.</w:t>
            </w:r>
          </w:p>
        </w:tc>
        <w:tc>
          <w:tcPr>
            <w:tcW w:w="2207" w:type="dxa"/>
            <w:vAlign w:val="center"/>
          </w:tcPr>
          <w:p w14:paraId="36D48D02"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Químico Farmacéutico Regente del servicio farmacéutico.</w:t>
            </w:r>
          </w:p>
        </w:tc>
        <w:tc>
          <w:tcPr>
            <w:tcW w:w="3013" w:type="dxa"/>
            <w:vAlign w:val="center"/>
          </w:tcPr>
          <w:p w14:paraId="13324EDC"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Procedimiento Control de Fecha de vencimiento de medicamento y dispositivos médicos</w:t>
            </w:r>
          </w:p>
        </w:tc>
      </w:tr>
      <w:tr w:rsidR="00526A49" w:rsidRPr="00526A49" w14:paraId="74A5CAF5" w14:textId="77777777" w:rsidTr="00FA08BA">
        <w:tc>
          <w:tcPr>
            <w:tcW w:w="710" w:type="dxa"/>
            <w:vAlign w:val="center"/>
          </w:tcPr>
          <w:p w14:paraId="2BC8651B"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12.</w:t>
            </w:r>
          </w:p>
        </w:tc>
        <w:tc>
          <w:tcPr>
            <w:tcW w:w="4135" w:type="dxa"/>
            <w:vAlign w:val="center"/>
          </w:tcPr>
          <w:p w14:paraId="41DB8437" w14:textId="77777777" w:rsidR="00706AED" w:rsidRPr="00526A49" w:rsidRDefault="00706AED" w:rsidP="00526A49">
            <w:pPr>
              <w:spacing w:line="276" w:lineRule="auto"/>
              <w:jc w:val="both"/>
              <w:rPr>
                <w:rFonts w:eastAsia="Times New Roman" w:cstheme="minorHAnsi"/>
                <w:sz w:val="24"/>
                <w:szCs w:val="24"/>
                <w:lang w:eastAsia="es-ES"/>
              </w:rPr>
            </w:pPr>
            <w:r w:rsidRPr="00526A49">
              <w:rPr>
                <w:rFonts w:eastAsia="Times New Roman" w:cstheme="minorHAnsi"/>
                <w:sz w:val="24"/>
                <w:szCs w:val="24"/>
                <w:lang w:eastAsia="es-ES"/>
              </w:rPr>
              <w:t xml:space="preserve">Baja y salida de medicamentos: se deben almacenar en el área de medicamentos vencidos para proceder a notificar a la secretaria de Salud (ANEXO 6 Resolucion1478 de 2006)y a la empresa encargada de recogerlos para </w:t>
            </w:r>
            <w:r w:rsidRPr="00526A49">
              <w:rPr>
                <w:rFonts w:eastAsia="Times New Roman" w:cstheme="minorHAnsi"/>
                <w:sz w:val="24"/>
                <w:szCs w:val="24"/>
                <w:lang w:eastAsia="es-ES"/>
              </w:rPr>
              <w:lastRenderedPageBreak/>
              <w:t>la destrucción y desnaturalización de estos.</w:t>
            </w:r>
          </w:p>
        </w:tc>
        <w:tc>
          <w:tcPr>
            <w:tcW w:w="2207" w:type="dxa"/>
            <w:vAlign w:val="center"/>
          </w:tcPr>
          <w:p w14:paraId="1D6C0FCB"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lastRenderedPageBreak/>
              <w:t>Químico Farmacéutico Regente del servicio farmacéutico.</w:t>
            </w:r>
          </w:p>
        </w:tc>
        <w:tc>
          <w:tcPr>
            <w:tcW w:w="3013" w:type="dxa"/>
            <w:vAlign w:val="center"/>
          </w:tcPr>
          <w:p w14:paraId="55A6A21B" w14:textId="77777777" w:rsidR="00706AED" w:rsidRPr="00526A49" w:rsidRDefault="00706AED" w:rsidP="00526A49">
            <w:pPr>
              <w:spacing w:line="276" w:lineRule="auto"/>
              <w:jc w:val="center"/>
              <w:rPr>
                <w:rFonts w:eastAsia="Times New Roman" w:cstheme="minorHAnsi"/>
                <w:sz w:val="24"/>
                <w:szCs w:val="24"/>
                <w:lang w:eastAsia="es-ES"/>
              </w:rPr>
            </w:pPr>
            <w:r w:rsidRPr="00526A49">
              <w:rPr>
                <w:rFonts w:eastAsia="Times New Roman" w:cstheme="minorHAnsi"/>
                <w:sz w:val="24"/>
                <w:szCs w:val="24"/>
                <w:lang w:eastAsia="es-ES"/>
              </w:rPr>
              <w:t>(ANEXO 6 Resolucion1478 de 2006)</w:t>
            </w:r>
          </w:p>
        </w:tc>
      </w:tr>
    </w:tbl>
    <w:p w14:paraId="17682173" w14:textId="77777777" w:rsidR="00706AED" w:rsidRPr="00526A49" w:rsidRDefault="00706AED" w:rsidP="00526A49">
      <w:pPr>
        <w:spacing w:after="0"/>
        <w:jc w:val="both"/>
        <w:rPr>
          <w:rFonts w:eastAsia="Times New Roman" w:cstheme="minorHAnsi"/>
          <w:sz w:val="24"/>
          <w:szCs w:val="24"/>
          <w:lang w:eastAsia="es-ES"/>
        </w:rPr>
      </w:pPr>
    </w:p>
    <w:p w14:paraId="4AFBD855" w14:textId="77777777" w:rsidR="00706AED" w:rsidRPr="00526A49" w:rsidRDefault="00706AED" w:rsidP="00526A49">
      <w:pPr>
        <w:spacing w:after="0"/>
        <w:jc w:val="both"/>
        <w:rPr>
          <w:rFonts w:eastAsia="Times New Roman" w:cstheme="minorHAnsi"/>
          <w:sz w:val="24"/>
          <w:szCs w:val="24"/>
          <w:lang w:eastAsia="es-ES"/>
        </w:rPr>
      </w:pPr>
    </w:p>
    <w:p w14:paraId="3AA701D5" w14:textId="77777777" w:rsidR="00706AED" w:rsidRPr="00526A49" w:rsidRDefault="00706AED" w:rsidP="00526A49">
      <w:pPr>
        <w:pStyle w:val="Ttulo1"/>
        <w:spacing w:before="0"/>
        <w:rPr>
          <w:rFonts w:asciiTheme="minorHAnsi" w:eastAsia="Times New Roman" w:hAnsiTheme="minorHAnsi" w:cstheme="minorHAnsi"/>
          <w:b/>
          <w:color w:val="auto"/>
          <w:sz w:val="24"/>
          <w:szCs w:val="24"/>
          <w:lang w:eastAsia="es-ES"/>
        </w:rPr>
      </w:pPr>
      <w:bookmarkStart w:id="7" w:name="_Toc80133804"/>
      <w:r w:rsidRPr="00526A49">
        <w:rPr>
          <w:rFonts w:asciiTheme="minorHAnsi" w:eastAsia="Times New Roman" w:hAnsiTheme="minorHAnsi" w:cstheme="minorHAnsi"/>
          <w:b/>
          <w:color w:val="auto"/>
          <w:sz w:val="24"/>
          <w:szCs w:val="24"/>
          <w:lang w:eastAsia="es-ES"/>
        </w:rPr>
        <w:t>7.</w:t>
      </w:r>
      <w:r w:rsidRPr="00526A49">
        <w:rPr>
          <w:rFonts w:asciiTheme="minorHAnsi" w:eastAsia="Times New Roman" w:hAnsiTheme="minorHAnsi" w:cstheme="minorHAnsi"/>
          <w:b/>
          <w:color w:val="auto"/>
          <w:sz w:val="24"/>
          <w:szCs w:val="24"/>
          <w:lang w:eastAsia="es-ES"/>
        </w:rPr>
        <w:tab/>
        <w:t>DOCUMENTOS DE REFERENCIA.</w:t>
      </w:r>
      <w:bookmarkEnd w:id="7"/>
    </w:p>
    <w:p w14:paraId="09526252" w14:textId="77777777" w:rsidR="00FA08BA" w:rsidRPr="00526A49" w:rsidRDefault="00706AED" w:rsidP="00526A49">
      <w:pPr>
        <w:spacing w:after="0"/>
        <w:jc w:val="both"/>
        <w:rPr>
          <w:rFonts w:eastAsia="Times New Roman" w:cstheme="minorHAnsi"/>
          <w:sz w:val="24"/>
          <w:szCs w:val="24"/>
          <w:lang w:eastAsia="es-ES"/>
        </w:rPr>
      </w:pPr>
      <w:r w:rsidRPr="00526A49">
        <w:rPr>
          <w:rFonts w:eastAsia="Times New Roman" w:cstheme="minorHAnsi"/>
          <w:b/>
          <w:sz w:val="24"/>
          <w:szCs w:val="24"/>
          <w:lang w:eastAsia="es-ES"/>
        </w:rPr>
        <w:t>RESOLUCION 1478 DE 2006</w:t>
      </w:r>
      <w:r w:rsidRPr="00526A49">
        <w:rPr>
          <w:rFonts w:eastAsia="Times New Roman" w:cstheme="minorHAnsi"/>
          <w:sz w:val="24"/>
          <w:szCs w:val="24"/>
          <w:lang w:eastAsia="es-ES"/>
        </w:rPr>
        <w:t xml:space="preserve"> (Mayo 10) Por la cual se expiden normas para el control, seguimiento y vigilancia de la importación, exportación, procesamiento, síntesis, fabricación, distribución, dispensación, compra, venta, destrucción y uso de sustancias sometidas a fiscalización, medicamentos o cualquier otro producto que las contengan y sobre aquellas que son monopolio del Estado. Ministerio de la Protección Social.    </w:t>
      </w:r>
    </w:p>
    <w:p w14:paraId="3892A773" w14:textId="77777777" w:rsidR="00FA08BA" w:rsidRPr="00526A49" w:rsidRDefault="00FA08BA" w:rsidP="00526A49">
      <w:pPr>
        <w:spacing w:after="0"/>
        <w:jc w:val="both"/>
        <w:rPr>
          <w:rFonts w:eastAsia="Times New Roman" w:cstheme="minorHAnsi"/>
          <w:sz w:val="24"/>
          <w:szCs w:val="24"/>
          <w:lang w:eastAsia="es-ES"/>
        </w:rPr>
      </w:pPr>
    </w:p>
    <w:p w14:paraId="6D2EC170" w14:textId="77777777" w:rsidR="00FA08BA" w:rsidRPr="00526A49" w:rsidRDefault="00FA08BA" w:rsidP="00526A49">
      <w:pPr>
        <w:pStyle w:val="Sinespaciado"/>
        <w:spacing w:line="276" w:lineRule="auto"/>
        <w:jc w:val="both"/>
        <w:rPr>
          <w:rFonts w:cstheme="minorHAnsi"/>
          <w:sz w:val="24"/>
          <w:szCs w:val="24"/>
        </w:rPr>
      </w:pPr>
      <w:r w:rsidRPr="00526A49">
        <w:rPr>
          <w:rFonts w:cstheme="minorHAnsi"/>
          <w:b/>
          <w:sz w:val="24"/>
          <w:szCs w:val="24"/>
        </w:rPr>
        <w:t>RESOLUCION 1403 DE 2007</w:t>
      </w:r>
      <w:r w:rsidRPr="00526A49">
        <w:rPr>
          <w:rFonts w:cstheme="minorHAnsi"/>
          <w:sz w:val="24"/>
          <w:szCs w:val="24"/>
        </w:rPr>
        <w:t xml:space="preserve"> (14 de mayo) Por la cual se determina el Modelo de Gestión del Servicio Farmacéutico, se adopta el Manual de Condiciones Esenciales y Procedimientos y se dictan otras disposiciones.</w:t>
      </w:r>
    </w:p>
    <w:p w14:paraId="35BFDDA6" w14:textId="77777777" w:rsidR="00FA08BA" w:rsidRPr="00526A49" w:rsidRDefault="00FA08BA" w:rsidP="00526A49">
      <w:pPr>
        <w:pStyle w:val="Sinespaciado"/>
        <w:spacing w:line="276" w:lineRule="auto"/>
        <w:jc w:val="both"/>
        <w:rPr>
          <w:rFonts w:cstheme="minorHAnsi"/>
          <w:sz w:val="24"/>
          <w:szCs w:val="24"/>
        </w:rPr>
      </w:pPr>
    </w:p>
    <w:p w14:paraId="1CA6FBCE" w14:textId="77777777" w:rsidR="00FA08BA" w:rsidRPr="00526A49" w:rsidRDefault="00FA08BA" w:rsidP="00526A49">
      <w:pPr>
        <w:pStyle w:val="Sinespaciado"/>
        <w:spacing w:line="276" w:lineRule="auto"/>
        <w:jc w:val="both"/>
        <w:rPr>
          <w:rFonts w:cstheme="minorHAnsi"/>
          <w:sz w:val="24"/>
          <w:szCs w:val="24"/>
        </w:rPr>
      </w:pPr>
      <w:r w:rsidRPr="00526A49">
        <w:rPr>
          <w:rFonts w:cstheme="minorHAnsi"/>
          <w:b/>
          <w:sz w:val="24"/>
          <w:szCs w:val="24"/>
        </w:rPr>
        <w:t>RESOLUCION 2200 DEL 2005</w:t>
      </w:r>
      <w:r w:rsidRPr="00526A49">
        <w:rPr>
          <w:rFonts w:cstheme="minorHAnsi"/>
          <w:sz w:val="24"/>
          <w:szCs w:val="24"/>
        </w:rPr>
        <w:t xml:space="preserve"> Por el cual se reglamenta el servicio farmacéutico y se dictan otras disposiciones.</w:t>
      </w:r>
    </w:p>
    <w:p w14:paraId="4D16C0C9" w14:textId="77777777" w:rsidR="00FA08BA" w:rsidRPr="00526A49" w:rsidRDefault="00FA08BA" w:rsidP="00526A49">
      <w:pPr>
        <w:pStyle w:val="Sinespaciado"/>
        <w:spacing w:line="276" w:lineRule="auto"/>
        <w:jc w:val="both"/>
        <w:rPr>
          <w:rFonts w:cstheme="minorHAnsi"/>
          <w:sz w:val="24"/>
          <w:szCs w:val="24"/>
        </w:rPr>
      </w:pPr>
    </w:p>
    <w:p w14:paraId="7CEECCA3" w14:textId="77777777" w:rsidR="00FA08BA" w:rsidRPr="00526A49" w:rsidRDefault="00FA08BA" w:rsidP="00526A49">
      <w:pPr>
        <w:pStyle w:val="Sinespaciado"/>
        <w:spacing w:line="276" w:lineRule="auto"/>
        <w:contextualSpacing/>
        <w:mirrorIndents/>
        <w:jc w:val="both"/>
        <w:rPr>
          <w:rFonts w:cstheme="minorHAnsi"/>
          <w:sz w:val="24"/>
          <w:szCs w:val="24"/>
        </w:rPr>
      </w:pPr>
      <w:r w:rsidRPr="00526A49">
        <w:rPr>
          <w:rFonts w:cstheme="minorHAnsi"/>
          <w:b/>
          <w:sz w:val="24"/>
          <w:szCs w:val="24"/>
        </w:rPr>
        <w:t>DECRETO 780 de 2016</w:t>
      </w:r>
      <w:r w:rsidRPr="00526A49">
        <w:rPr>
          <w:rFonts w:cstheme="minorHAnsi"/>
          <w:sz w:val="24"/>
          <w:szCs w:val="24"/>
        </w:rPr>
        <w:t xml:space="preserve"> Decreto Único Reglamentario del Sector Salud y Protección Social. </w:t>
      </w:r>
    </w:p>
    <w:p w14:paraId="702D7F73" w14:textId="77777777" w:rsidR="00FA08BA" w:rsidRPr="00526A49" w:rsidRDefault="00FA08BA" w:rsidP="00526A49">
      <w:pPr>
        <w:pStyle w:val="Sinespaciado"/>
        <w:spacing w:line="276" w:lineRule="auto"/>
        <w:contextualSpacing/>
        <w:mirrorIndents/>
        <w:jc w:val="both"/>
        <w:rPr>
          <w:rFonts w:cstheme="minorHAnsi"/>
          <w:sz w:val="24"/>
          <w:szCs w:val="24"/>
        </w:rPr>
      </w:pPr>
    </w:p>
    <w:p w14:paraId="1C7F50E5" w14:textId="77777777" w:rsidR="00FA08BA" w:rsidRPr="00526A49" w:rsidRDefault="00FA08BA" w:rsidP="00526A49">
      <w:pPr>
        <w:pStyle w:val="Sinespaciado"/>
        <w:spacing w:line="276" w:lineRule="auto"/>
        <w:contextualSpacing/>
        <w:mirrorIndents/>
        <w:jc w:val="both"/>
        <w:rPr>
          <w:rFonts w:cstheme="minorHAnsi"/>
          <w:sz w:val="24"/>
          <w:szCs w:val="24"/>
        </w:rPr>
      </w:pPr>
      <w:r w:rsidRPr="00526A49">
        <w:rPr>
          <w:rFonts w:cstheme="minorHAnsi"/>
          <w:b/>
          <w:sz w:val="24"/>
          <w:szCs w:val="24"/>
        </w:rPr>
        <w:t>RESOLUCION 3100 de 2019</w:t>
      </w:r>
      <w:r w:rsidRPr="00526A49">
        <w:rPr>
          <w:rFonts w:cstheme="minorHAnsi"/>
          <w:sz w:val="24"/>
          <w:szCs w:val="24"/>
        </w:rPr>
        <w:t xml:space="preserve"> Por la cual se definen los procedimientos y condiciones de inscripción de los prestadores de servicios de salud y de habilitación de los servicios de salud y se adopta el Manual de Inscripción de Prestadores y Habilitación de Servicios de Salud.</w:t>
      </w:r>
    </w:p>
    <w:p w14:paraId="07878B61" w14:textId="77777777" w:rsidR="00706AED" w:rsidRPr="00526A49" w:rsidRDefault="00706AED" w:rsidP="00526A49">
      <w:pPr>
        <w:spacing w:after="0"/>
        <w:jc w:val="both"/>
        <w:rPr>
          <w:rFonts w:eastAsia="Times New Roman" w:cstheme="minorHAnsi"/>
          <w:sz w:val="24"/>
          <w:szCs w:val="24"/>
          <w:lang w:eastAsia="es-ES"/>
        </w:rPr>
      </w:pPr>
    </w:p>
    <w:p w14:paraId="75FAB245" w14:textId="77777777" w:rsidR="00AD5750" w:rsidRPr="00526A49" w:rsidRDefault="00AD5750" w:rsidP="00526A49">
      <w:pPr>
        <w:spacing w:after="0"/>
        <w:jc w:val="both"/>
        <w:rPr>
          <w:rFonts w:eastAsia="Times New Roman" w:cstheme="minorHAnsi"/>
          <w:sz w:val="24"/>
          <w:szCs w:val="24"/>
          <w:lang w:eastAsia="es-ES"/>
        </w:rPr>
      </w:pPr>
      <w:r w:rsidRPr="00526A49">
        <w:rPr>
          <w:rFonts w:eastAsia="Times New Roman" w:cstheme="minorHAnsi"/>
          <w:sz w:val="24"/>
          <w:szCs w:val="24"/>
          <w:lang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1003"/>
        <w:gridCol w:w="3240"/>
        <w:gridCol w:w="4575"/>
      </w:tblGrid>
      <w:tr w:rsidR="00526A49" w:rsidRPr="00526A49" w14:paraId="6E28EC55" w14:textId="77777777" w:rsidTr="000447A3">
        <w:trPr>
          <w:trHeight w:val="315"/>
          <w:jc w:val="center"/>
        </w:trPr>
        <w:tc>
          <w:tcPr>
            <w:tcW w:w="8818"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2D95FD73" w14:textId="021D6D0D" w:rsidR="00FA08BA" w:rsidRPr="00526A49" w:rsidRDefault="00526A49" w:rsidP="00526A49">
            <w:pPr>
              <w:pStyle w:val="Ttulo1"/>
              <w:spacing w:before="0"/>
              <w:rPr>
                <w:rFonts w:asciiTheme="minorHAnsi" w:eastAsia="Times New Roman" w:hAnsiTheme="minorHAnsi" w:cstheme="minorHAnsi"/>
                <w:b/>
                <w:bCs/>
                <w:color w:val="auto"/>
                <w:sz w:val="24"/>
                <w:szCs w:val="24"/>
                <w:lang w:eastAsia="es-CO"/>
              </w:rPr>
            </w:pPr>
            <w:bookmarkStart w:id="8" w:name="_Toc80133805"/>
            <w:r w:rsidRPr="00526A49">
              <w:rPr>
                <w:rFonts w:asciiTheme="minorHAnsi" w:eastAsia="Times New Roman" w:hAnsiTheme="minorHAnsi" w:cstheme="minorHAnsi"/>
                <w:b/>
                <w:bCs/>
                <w:color w:val="auto"/>
                <w:sz w:val="24"/>
                <w:szCs w:val="24"/>
                <w:lang w:eastAsia="es-CO"/>
              </w:rPr>
              <w:t xml:space="preserve">8.  </w:t>
            </w:r>
            <w:r w:rsidR="00FA08BA" w:rsidRPr="00526A49">
              <w:rPr>
                <w:rFonts w:asciiTheme="minorHAnsi" w:eastAsia="Times New Roman" w:hAnsiTheme="minorHAnsi" w:cstheme="minorHAnsi"/>
                <w:b/>
                <w:bCs/>
                <w:color w:val="auto"/>
                <w:sz w:val="24"/>
                <w:szCs w:val="24"/>
                <w:lang w:eastAsia="es-CO"/>
              </w:rPr>
              <w:t>CONTROL DE CAMBIOS</w:t>
            </w:r>
            <w:bookmarkEnd w:id="8"/>
          </w:p>
        </w:tc>
      </w:tr>
      <w:tr w:rsidR="00526A49" w:rsidRPr="00526A49" w14:paraId="0C3D4D71" w14:textId="77777777" w:rsidTr="000447A3">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32FF64A0" w14:textId="77777777" w:rsidR="00FA08BA" w:rsidRPr="00526A49" w:rsidRDefault="00FA08BA" w:rsidP="00526A49">
            <w:pPr>
              <w:spacing w:after="0"/>
              <w:jc w:val="both"/>
              <w:rPr>
                <w:rFonts w:eastAsia="Times New Roman" w:cstheme="minorHAnsi"/>
                <w:b/>
                <w:bCs/>
                <w:sz w:val="24"/>
                <w:szCs w:val="24"/>
                <w:lang w:eastAsia="es-CO"/>
              </w:rPr>
            </w:pPr>
            <w:r w:rsidRPr="00526A49">
              <w:rPr>
                <w:rFonts w:eastAsia="Times New Roman" w:cstheme="minorHAnsi"/>
                <w:b/>
                <w:bCs/>
                <w:sz w:val="24"/>
                <w:szCs w:val="24"/>
                <w:lang w:eastAsia="es-CO"/>
              </w:rPr>
              <w:t>Versión</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0AC42FC3" w14:textId="77777777" w:rsidR="00FA08BA" w:rsidRPr="00526A49" w:rsidRDefault="00FA08BA" w:rsidP="00526A49">
            <w:pPr>
              <w:spacing w:after="0"/>
              <w:jc w:val="center"/>
              <w:rPr>
                <w:rFonts w:eastAsia="Times New Roman" w:cstheme="minorHAnsi"/>
                <w:b/>
                <w:bCs/>
                <w:sz w:val="24"/>
                <w:szCs w:val="24"/>
                <w:lang w:eastAsia="es-CO"/>
              </w:rPr>
            </w:pPr>
            <w:r w:rsidRPr="00526A49">
              <w:rPr>
                <w:rFonts w:eastAsia="Times New Roman" w:cstheme="minorHAnsi"/>
                <w:b/>
                <w:bCs/>
                <w:sz w:val="24"/>
                <w:szCs w:val="24"/>
                <w:lang w:eastAsia="es-CO"/>
              </w:rPr>
              <w:t>fecha de Aprobación</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2368F2F4" w14:textId="77777777" w:rsidR="00FA08BA" w:rsidRPr="00526A49" w:rsidRDefault="00FA08BA" w:rsidP="00526A49">
            <w:pPr>
              <w:spacing w:after="0"/>
              <w:jc w:val="center"/>
              <w:rPr>
                <w:rFonts w:eastAsia="Times New Roman" w:cstheme="minorHAnsi"/>
                <w:b/>
                <w:bCs/>
                <w:sz w:val="24"/>
                <w:szCs w:val="24"/>
                <w:lang w:eastAsia="es-CO"/>
              </w:rPr>
            </w:pPr>
            <w:r w:rsidRPr="00526A49">
              <w:rPr>
                <w:rFonts w:eastAsia="Times New Roman" w:cstheme="minorHAnsi"/>
                <w:b/>
                <w:bCs/>
                <w:sz w:val="24"/>
                <w:szCs w:val="24"/>
                <w:lang w:eastAsia="es-CO"/>
              </w:rPr>
              <w:t>Descripción de cambios realizados</w:t>
            </w:r>
          </w:p>
        </w:tc>
      </w:tr>
      <w:tr w:rsidR="00526A49" w:rsidRPr="00526A49" w14:paraId="3134AF6E" w14:textId="77777777" w:rsidTr="000447A3">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26D09084" w14:textId="77777777" w:rsidR="00FA08BA" w:rsidRPr="00526A49" w:rsidRDefault="00FA08BA" w:rsidP="00526A49">
            <w:pPr>
              <w:spacing w:after="0"/>
              <w:jc w:val="center"/>
              <w:rPr>
                <w:rFonts w:eastAsia="Times New Roman" w:cstheme="minorHAnsi"/>
                <w:sz w:val="24"/>
                <w:szCs w:val="24"/>
                <w:lang w:eastAsia="es-CO"/>
              </w:rPr>
            </w:pPr>
            <w:r w:rsidRPr="00526A49">
              <w:rPr>
                <w:rFonts w:eastAsia="Times New Roman" w:cstheme="minorHAnsi"/>
                <w:sz w:val="24"/>
                <w:szCs w:val="24"/>
                <w:lang w:eastAsia="es-CO"/>
              </w:rPr>
              <w:t>2</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2A44CEBA" w14:textId="7A5992BA" w:rsidR="00FA08BA" w:rsidRPr="00526A49" w:rsidRDefault="00526A49" w:rsidP="00526A49">
            <w:pPr>
              <w:spacing w:after="0"/>
              <w:jc w:val="center"/>
              <w:rPr>
                <w:rFonts w:eastAsia="Times New Roman" w:cstheme="minorHAnsi"/>
                <w:sz w:val="24"/>
                <w:szCs w:val="24"/>
                <w:lang w:eastAsia="es-CO"/>
              </w:rPr>
            </w:pPr>
            <w:r w:rsidRPr="00526A49">
              <w:rPr>
                <w:rFonts w:eastAsia="Arial" w:cstheme="minorHAnsi"/>
              </w:rPr>
              <w:t>31-03-2021</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2CBB86F2" w14:textId="77777777" w:rsidR="00FA08BA" w:rsidRPr="00526A49" w:rsidRDefault="00FA08BA" w:rsidP="00526A49">
            <w:pPr>
              <w:spacing w:after="0"/>
              <w:jc w:val="center"/>
              <w:rPr>
                <w:rFonts w:eastAsia="Times New Roman" w:cstheme="minorHAnsi"/>
                <w:sz w:val="24"/>
                <w:szCs w:val="24"/>
                <w:lang w:eastAsia="es-CO"/>
              </w:rPr>
            </w:pPr>
            <w:r w:rsidRPr="00526A49">
              <w:rPr>
                <w:rFonts w:eastAsia="Times New Roman" w:cstheme="minorHAnsi"/>
                <w:sz w:val="24"/>
                <w:szCs w:val="24"/>
                <w:lang w:eastAsia="es-CO"/>
              </w:rPr>
              <w:t>Se revisó el contenido y se actualizó de acuerdo a los procedimientos que se realizan en el Servicio Farmacéutico y a la normatividad existente.</w:t>
            </w:r>
          </w:p>
        </w:tc>
      </w:tr>
    </w:tbl>
    <w:p w14:paraId="68BCA9BC" w14:textId="595ED71D" w:rsidR="002D2618" w:rsidRPr="00526A49" w:rsidRDefault="002D2618" w:rsidP="00526A49">
      <w:pPr>
        <w:pStyle w:val="Sinespaciado"/>
        <w:tabs>
          <w:tab w:val="left" w:pos="2910"/>
        </w:tabs>
        <w:spacing w:line="276" w:lineRule="auto"/>
        <w:jc w:val="both"/>
        <w:rPr>
          <w:rFonts w:cstheme="minorHAnsi"/>
        </w:rPr>
      </w:pPr>
    </w:p>
    <w:sectPr w:rsidR="002D2618" w:rsidRPr="00526A49" w:rsidSect="00526A4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AE59" w14:textId="77777777" w:rsidR="002F7375" w:rsidRDefault="002F7375" w:rsidP="00B9653B">
      <w:pPr>
        <w:spacing w:after="0" w:line="240" w:lineRule="auto"/>
      </w:pPr>
      <w:r>
        <w:separator/>
      </w:r>
    </w:p>
  </w:endnote>
  <w:endnote w:type="continuationSeparator" w:id="0">
    <w:p w14:paraId="3B498836" w14:textId="77777777" w:rsidR="002F7375" w:rsidRDefault="002F7375" w:rsidP="00B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5477" w14:textId="77777777" w:rsidR="008D2C18" w:rsidRDefault="008D2C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747"/>
      <w:gridCol w:w="2628"/>
      <w:gridCol w:w="2113"/>
    </w:tblGrid>
    <w:tr w:rsidR="00526A49" w:rsidRPr="001F6D45" w14:paraId="41189F58" w14:textId="77777777" w:rsidTr="00DB4254">
      <w:trPr>
        <w:trHeight w:val="415"/>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79502DCD" w14:textId="77777777" w:rsidR="00526A49" w:rsidRPr="001F6D45" w:rsidRDefault="00526A49" w:rsidP="00526A49">
          <w:pPr>
            <w:tabs>
              <w:tab w:val="center" w:pos="4252"/>
              <w:tab w:val="right" w:pos="8504"/>
            </w:tabs>
            <w:spacing w:after="0" w:line="240" w:lineRule="auto"/>
            <w:jc w:val="center"/>
            <w:rPr>
              <w:rFonts w:ascii="Calibri" w:eastAsia="Arial" w:hAnsi="Calibri" w:cs="Calibri"/>
              <w:b/>
            </w:rPr>
          </w:pPr>
          <w:bookmarkStart w:id="9" w:name="_Hlk77951481"/>
          <w:bookmarkStart w:id="10" w:name="_Hlk80132631"/>
          <w:r w:rsidRPr="001F6D45">
            <w:rPr>
              <w:rFonts w:ascii="Calibri" w:eastAsia="Arial" w:hAnsi="Calibri" w:cs="Calibri"/>
              <w:b/>
            </w:rPr>
            <w:t>ELABORÓ:</w:t>
          </w:r>
        </w:p>
      </w:tc>
      <w:tc>
        <w:tcPr>
          <w:tcW w:w="274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13FA0371" w14:textId="77777777" w:rsidR="00526A49" w:rsidRPr="001F6D45" w:rsidRDefault="00526A49" w:rsidP="00526A49">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REVISÓ:</w:t>
          </w:r>
        </w:p>
      </w:tc>
      <w:tc>
        <w:tcPr>
          <w:tcW w:w="262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7962C42A" w14:textId="77777777" w:rsidR="00526A49" w:rsidRPr="001F6D45" w:rsidRDefault="00526A49" w:rsidP="00526A49">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APROBÓ:</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5D0C6F59" w14:textId="77777777" w:rsidR="00526A49" w:rsidRPr="001F6D45" w:rsidRDefault="00526A49" w:rsidP="00526A49">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COPIA CONTROLADA: 1</w:t>
          </w:r>
        </w:p>
      </w:tc>
    </w:tr>
    <w:tr w:rsidR="00526A49" w:rsidRPr="001F6D45" w14:paraId="6E21D1C4" w14:textId="77777777" w:rsidTr="00DB4254">
      <w:trPr>
        <w:trHeight w:val="55"/>
        <w:jc w:val="center"/>
      </w:trPr>
      <w:tc>
        <w:tcPr>
          <w:tcW w:w="2458" w:type="dxa"/>
          <w:tcBorders>
            <w:top w:val="single" w:sz="4" w:space="0" w:color="000000"/>
            <w:left w:val="single" w:sz="4" w:space="0" w:color="000000"/>
            <w:bottom w:val="single" w:sz="4" w:space="0" w:color="000000"/>
            <w:right w:val="single" w:sz="4" w:space="0" w:color="000000"/>
          </w:tcBorders>
          <w:vAlign w:val="center"/>
          <w:hideMark/>
        </w:tcPr>
        <w:p w14:paraId="68A5D007" w14:textId="77777777" w:rsidR="00526A49" w:rsidRPr="001F6D45" w:rsidRDefault="00526A49" w:rsidP="00526A49">
          <w:pPr>
            <w:tabs>
              <w:tab w:val="center" w:pos="4252"/>
              <w:tab w:val="right" w:pos="8504"/>
            </w:tabs>
            <w:spacing w:after="0" w:line="240" w:lineRule="auto"/>
            <w:jc w:val="center"/>
            <w:rPr>
              <w:rFonts w:ascii="Calibri" w:eastAsia="Arial" w:hAnsi="Calibri" w:cs="Calibri"/>
            </w:rPr>
          </w:pPr>
          <w:r>
            <w:rPr>
              <w:rFonts w:ascii="Calibri" w:eastAsia="Arial" w:hAnsi="Calibri" w:cs="Calibri"/>
            </w:rPr>
            <w:t>Líder de Farmacia</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3C2A8D50" w14:textId="77777777" w:rsidR="00526A49" w:rsidRPr="001F6D45" w:rsidRDefault="00526A49" w:rsidP="00526A49">
          <w:pPr>
            <w:tabs>
              <w:tab w:val="center" w:pos="4252"/>
              <w:tab w:val="right" w:pos="8504"/>
            </w:tabs>
            <w:spacing w:after="0" w:line="240" w:lineRule="auto"/>
            <w:jc w:val="center"/>
            <w:rPr>
              <w:rFonts w:ascii="Calibri" w:eastAsia="Arial" w:hAnsi="Calibri" w:cs="Calibri"/>
            </w:rPr>
          </w:pPr>
          <w:r>
            <w:rPr>
              <w:rFonts w:ascii="Calibri" w:eastAsia="Arial" w:hAnsi="Calibri" w:cs="Calibri"/>
            </w:rPr>
            <w:t>Oficina de Planeación</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477BF7B3" w14:textId="77777777" w:rsidR="00526A49" w:rsidRPr="001F6D45" w:rsidRDefault="00526A49" w:rsidP="00526A49">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Juan Sánchez Páez</w:t>
          </w:r>
        </w:p>
        <w:p w14:paraId="79DA6C5C" w14:textId="77777777" w:rsidR="00526A49" w:rsidRPr="001F6D45" w:rsidRDefault="00526A49" w:rsidP="00526A49">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Gerente</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4B7BF98F" w14:textId="77777777" w:rsidR="00526A49" w:rsidRPr="001F6D45" w:rsidRDefault="00526A49" w:rsidP="00526A49">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COPIA NO CONTROLADA:</w:t>
          </w:r>
        </w:p>
      </w:tc>
      <w:bookmarkEnd w:id="9"/>
    </w:tr>
    <w:bookmarkEnd w:id="10"/>
  </w:tbl>
  <w:p w14:paraId="39FB1868" w14:textId="77777777" w:rsidR="003D1AE3" w:rsidRPr="00526A49" w:rsidRDefault="003D1AE3" w:rsidP="00526A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9FC7" w14:textId="77777777" w:rsidR="008D2C18" w:rsidRDefault="008D2C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AFFF" w14:textId="77777777" w:rsidR="002F7375" w:rsidRDefault="002F7375" w:rsidP="00B9653B">
      <w:pPr>
        <w:spacing w:after="0" w:line="240" w:lineRule="auto"/>
      </w:pPr>
      <w:r>
        <w:separator/>
      </w:r>
    </w:p>
  </w:footnote>
  <w:footnote w:type="continuationSeparator" w:id="0">
    <w:p w14:paraId="5C7E2EBC" w14:textId="77777777" w:rsidR="002F7375" w:rsidRDefault="002F7375" w:rsidP="00B9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A8FE" w14:textId="77777777" w:rsidR="008D2C18" w:rsidRDefault="008D2C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957"/>
      <w:gridCol w:w="1133"/>
      <w:gridCol w:w="1700"/>
    </w:tblGrid>
    <w:tr w:rsidR="00526A49" w:rsidRPr="001F6D45" w14:paraId="5324E2AD" w14:textId="77777777" w:rsidTr="00DB4254">
      <w:trPr>
        <w:trHeight w:val="392"/>
        <w:jc w:val="center"/>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6C248EA9" w14:textId="77777777" w:rsidR="00526A49" w:rsidRPr="001F6D45" w:rsidRDefault="00526A49" w:rsidP="00526A49">
          <w:pPr>
            <w:spacing w:after="0" w:line="240" w:lineRule="auto"/>
            <w:rPr>
              <w:rFonts w:ascii="Calibri" w:eastAsia="Arial" w:hAnsi="Calibri" w:cs="Calibri"/>
              <w:sz w:val="24"/>
              <w:szCs w:val="24"/>
              <w:lang w:val="en-US"/>
            </w:rPr>
          </w:pPr>
          <w:r w:rsidRPr="001F6D45">
            <w:rPr>
              <w:rFonts w:ascii="Calibri" w:eastAsia="Calibri" w:hAnsi="Calibri" w:cs="Calibri"/>
              <w:noProof/>
              <w:sz w:val="16"/>
              <w:szCs w:val="16"/>
              <w:lang w:val="en-US"/>
            </w:rPr>
            <w:drawing>
              <wp:inline distT="0" distB="0" distL="0" distR="0" wp14:anchorId="1341F0BF" wp14:editId="63BD82B6">
                <wp:extent cx="1390650" cy="9715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14:paraId="5181D3DE" w14:textId="77777777" w:rsidR="00526A49" w:rsidRPr="001F6D45" w:rsidRDefault="00526A49" w:rsidP="00526A49">
          <w:pPr>
            <w:spacing w:after="0" w:line="240" w:lineRule="auto"/>
            <w:jc w:val="center"/>
            <w:rPr>
              <w:rFonts w:ascii="Calibri" w:eastAsia="Arial" w:hAnsi="Calibri" w:cs="Calibri"/>
              <w:b/>
              <w:lang w:val="es-ES"/>
            </w:rPr>
          </w:pPr>
          <w:r w:rsidRPr="001F6D45">
            <w:rPr>
              <w:rFonts w:ascii="Calibri" w:eastAsia="Arial" w:hAnsi="Calibri" w:cs="Calibri"/>
              <w:b/>
              <w:lang w:val="es-ES"/>
            </w:rPr>
            <w:t>ESE Hospital Materno Infantil Ciudadela Metropolitana de Soledad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A9C9D4" w14:textId="77777777" w:rsidR="00526A49" w:rsidRPr="001F6D45" w:rsidRDefault="00526A49" w:rsidP="00526A49">
          <w:pPr>
            <w:spacing w:after="0" w:line="240" w:lineRule="auto"/>
            <w:jc w:val="both"/>
            <w:rPr>
              <w:rFonts w:ascii="Calibri" w:eastAsia="Arial" w:hAnsi="Calibri" w:cs="Calibri"/>
            </w:rPr>
          </w:pPr>
          <w:r w:rsidRPr="001F6D45">
            <w:rPr>
              <w:rFonts w:ascii="Calibri" w:eastAsia="Arial" w:hAnsi="Calibri" w:cs="Calibri"/>
            </w:rPr>
            <w:t>Código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B0D695" w14:textId="3EB0D522" w:rsidR="00526A49" w:rsidRPr="001F6D45" w:rsidRDefault="00526A49" w:rsidP="00526A49">
          <w:pPr>
            <w:spacing w:after="0" w:line="240" w:lineRule="auto"/>
            <w:jc w:val="center"/>
            <w:rPr>
              <w:rFonts w:ascii="Calibri" w:eastAsia="Arial" w:hAnsi="Calibri" w:cs="Calibri"/>
            </w:rPr>
          </w:pPr>
          <w:r w:rsidRPr="001F6D45">
            <w:rPr>
              <w:rFonts w:ascii="Calibri" w:eastAsia="Arial" w:hAnsi="Calibri" w:cs="Calibri"/>
            </w:rPr>
            <w:t>P</w:t>
          </w:r>
          <w:r>
            <w:rPr>
              <w:rFonts w:ascii="Calibri" w:eastAsia="Arial" w:hAnsi="Calibri" w:cs="Calibri"/>
            </w:rPr>
            <w:t>T</w:t>
          </w:r>
          <w:r w:rsidRPr="001F6D45">
            <w:rPr>
              <w:rFonts w:ascii="Calibri" w:eastAsia="Arial" w:hAnsi="Calibri" w:cs="Calibri"/>
            </w:rPr>
            <w:t>-</w:t>
          </w:r>
          <w:r>
            <w:rPr>
              <w:rFonts w:ascii="Calibri" w:eastAsia="Arial" w:hAnsi="Calibri" w:cs="Calibri"/>
            </w:rPr>
            <w:t>MMCE</w:t>
          </w:r>
          <w:r w:rsidRPr="001F6D45">
            <w:rPr>
              <w:rFonts w:ascii="Calibri" w:eastAsia="Arial" w:hAnsi="Calibri" w:cs="Calibri"/>
            </w:rPr>
            <w:t>-02</w:t>
          </w:r>
        </w:p>
      </w:tc>
    </w:tr>
    <w:tr w:rsidR="00526A49" w:rsidRPr="001F6D45" w14:paraId="3CDC2133" w14:textId="77777777" w:rsidTr="00DB4254">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918EACD" w14:textId="77777777" w:rsidR="00526A49" w:rsidRPr="001F6D45" w:rsidRDefault="00526A49" w:rsidP="00526A49">
          <w:pPr>
            <w:spacing w:after="0"/>
            <w:rPr>
              <w:rFonts w:ascii="Calibri" w:eastAsia="Arial" w:hAnsi="Calibri" w:cs="Calibri"/>
              <w:sz w:val="24"/>
              <w:szCs w:val="24"/>
              <w:lang w:val="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5BF4A026" w14:textId="77777777" w:rsidR="00526A49" w:rsidRPr="001F6D45" w:rsidRDefault="00526A49" w:rsidP="00526A49">
          <w:pPr>
            <w:spacing w:after="0"/>
            <w:rPr>
              <w:rFonts w:ascii="Calibri" w:eastAsia="Arial" w:hAnsi="Calibri" w:cs="Calibri"/>
              <w:b/>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B0BE4D" w14:textId="77777777" w:rsidR="00526A49" w:rsidRPr="001F6D45" w:rsidRDefault="00526A49" w:rsidP="00526A49">
          <w:pPr>
            <w:spacing w:after="0" w:line="240" w:lineRule="auto"/>
            <w:jc w:val="both"/>
            <w:rPr>
              <w:rFonts w:ascii="Calibri" w:eastAsia="Arial" w:hAnsi="Calibri" w:cs="Calibri"/>
            </w:rPr>
          </w:pPr>
          <w:r w:rsidRPr="001F6D45">
            <w:rPr>
              <w:rFonts w:ascii="Calibri" w:eastAsia="Arial" w:hAnsi="Calibri" w:cs="Calibri"/>
            </w:rPr>
            <w:t>Versión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816A69" w14:textId="77777777" w:rsidR="00526A49" w:rsidRPr="001F6D45" w:rsidRDefault="00526A49" w:rsidP="00526A49">
          <w:pPr>
            <w:spacing w:after="0" w:line="240" w:lineRule="auto"/>
            <w:jc w:val="center"/>
            <w:rPr>
              <w:rFonts w:ascii="Calibri" w:eastAsia="Arial" w:hAnsi="Calibri" w:cs="Calibri"/>
            </w:rPr>
          </w:pPr>
          <w:r w:rsidRPr="001F6D45">
            <w:rPr>
              <w:rFonts w:ascii="Calibri" w:eastAsia="Arial" w:hAnsi="Calibri" w:cs="Calibri"/>
            </w:rPr>
            <w:t>2</w:t>
          </w:r>
        </w:p>
      </w:tc>
    </w:tr>
    <w:tr w:rsidR="00526A49" w:rsidRPr="001F6D45" w14:paraId="69255ECB" w14:textId="77777777" w:rsidTr="00DB4254">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3F2804F" w14:textId="77777777" w:rsidR="00526A49" w:rsidRPr="001F6D45" w:rsidRDefault="00526A49" w:rsidP="00526A49">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9314E48" w14:textId="77777777" w:rsidR="00526A49" w:rsidRPr="001F6D45" w:rsidRDefault="00526A49" w:rsidP="00526A49">
          <w:pPr>
            <w:spacing w:after="0" w:line="240" w:lineRule="auto"/>
            <w:jc w:val="center"/>
            <w:rPr>
              <w:rFonts w:ascii="Calibri" w:eastAsia="Arial" w:hAnsi="Calibri" w:cs="Calibri"/>
              <w:b/>
              <w:lang w:val="es-ES"/>
            </w:rPr>
          </w:pPr>
          <w:r w:rsidRPr="001F6D45">
            <w:rPr>
              <w:rFonts w:ascii="Calibri" w:eastAsia="Arial" w:hAnsi="Calibri" w:cs="Calibri"/>
              <w:b/>
              <w:lang w:val="es-ES"/>
            </w:rPr>
            <w:t>PROCESO SERVICIO FARMACÉUTICO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951C77" w14:textId="77777777" w:rsidR="00526A49" w:rsidRPr="001F6D45" w:rsidRDefault="00526A49" w:rsidP="00526A49">
          <w:pPr>
            <w:spacing w:after="0" w:line="240" w:lineRule="auto"/>
            <w:jc w:val="both"/>
            <w:rPr>
              <w:rFonts w:ascii="Calibri" w:eastAsia="Arial" w:hAnsi="Calibri" w:cs="Calibri"/>
            </w:rPr>
          </w:pPr>
          <w:r w:rsidRPr="001F6D45">
            <w:rPr>
              <w:rFonts w:ascii="Calibri" w:eastAsia="Arial" w:hAnsi="Calibri" w:cs="Calibri"/>
            </w:rPr>
            <w:t>Fecha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A71C1D2" w14:textId="77777777" w:rsidR="00526A49" w:rsidRPr="001F6D45" w:rsidRDefault="00526A49" w:rsidP="00526A49">
          <w:pPr>
            <w:spacing w:after="0" w:line="240" w:lineRule="auto"/>
            <w:jc w:val="center"/>
            <w:rPr>
              <w:rFonts w:ascii="Calibri" w:eastAsia="Arial" w:hAnsi="Calibri" w:cs="Calibri"/>
              <w:highlight w:val="yellow"/>
            </w:rPr>
          </w:pPr>
          <w:r w:rsidRPr="001F6D45">
            <w:rPr>
              <w:rFonts w:ascii="Calibri" w:eastAsia="Arial" w:hAnsi="Calibri" w:cs="Calibri"/>
            </w:rPr>
            <w:t xml:space="preserve">31-03-2021 </w:t>
          </w:r>
        </w:p>
      </w:tc>
    </w:tr>
    <w:tr w:rsidR="00526A49" w:rsidRPr="001F6D45" w14:paraId="74F91906" w14:textId="77777777" w:rsidTr="00526A49">
      <w:trPr>
        <w:trHeight w:val="355"/>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9B272DA" w14:textId="77777777" w:rsidR="00526A49" w:rsidRPr="001F6D45" w:rsidRDefault="00526A49" w:rsidP="00526A49">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DECFE9F" w14:textId="6EA76C8F" w:rsidR="00526A49" w:rsidRPr="001F6D45" w:rsidRDefault="00526A49" w:rsidP="00526A49">
          <w:pPr>
            <w:spacing w:after="0" w:line="240" w:lineRule="auto"/>
            <w:jc w:val="center"/>
            <w:rPr>
              <w:rFonts w:ascii="Calibri" w:eastAsia="Arial" w:hAnsi="Calibri" w:cs="Calibri"/>
              <w:lang w:val="es-ES"/>
            </w:rPr>
          </w:pPr>
          <w:r w:rsidRPr="00526A49">
            <w:rPr>
              <w:rFonts w:ascii="Calibri" w:eastAsia="Arial" w:hAnsi="Calibri" w:cs="Calibri"/>
              <w:lang w:val="es-ES"/>
            </w:rPr>
            <w:t>Protocolo De Manejo De Medicamentos De Control Especial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F0E30A" w14:textId="77777777" w:rsidR="00526A49" w:rsidRPr="001F6D45" w:rsidRDefault="00526A49" w:rsidP="00526A49">
          <w:pPr>
            <w:spacing w:after="0" w:line="240" w:lineRule="auto"/>
            <w:jc w:val="both"/>
            <w:rPr>
              <w:rFonts w:ascii="Calibri" w:eastAsia="Arial" w:hAnsi="Calibri" w:cs="Calibri"/>
            </w:rPr>
          </w:pPr>
          <w:r w:rsidRPr="001F6D45">
            <w:rPr>
              <w:rFonts w:ascii="Calibri" w:eastAsia="Arial" w:hAnsi="Calibri" w:cs="Calibri"/>
            </w:rPr>
            <w:t>Pág.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42E932" w14:textId="77777777" w:rsidR="00526A49" w:rsidRPr="001F6D45" w:rsidRDefault="00526A49" w:rsidP="00526A49">
          <w:pPr>
            <w:spacing w:after="0" w:line="240" w:lineRule="auto"/>
            <w:jc w:val="center"/>
            <w:rPr>
              <w:rFonts w:ascii="Calibri" w:eastAsia="Arial" w:hAnsi="Calibri" w:cs="Calibri"/>
            </w:rPr>
          </w:pPr>
          <w:r w:rsidRPr="001F6D45">
            <w:rPr>
              <w:rFonts w:ascii="Calibri" w:eastAsia="Arial" w:hAnsi="Calibri" w:cs="Calibri"/>
            </w:rPr>
            <w:t xml:space="preserve">Página </w:t>
          </w:r>
          <w:r w:rsidRPr="001F6D45">
            <w:rPr>
              <w:rFonts w:ascii="Calibri" w:eastAsia="Arial" w:hAnsi="Calibri" w:cs="Calibri"/>
              <w:b/>
            </w:rPr>
            <w:fldChar w:fldCharType="begin"/>
          </w:r>
          <w:r w:rsidRPr="001F6D45">
            <w:rPr>
              <w:rFonts w:ascii="Calibri" w:eastAsia="Arial" w:hAnsi="Calibri" w:cs="Calibri"/>
              <w:b/>
            </w:rPr>
            <w:instrText>PAGE</w:instrText>
          </w:r>
          <w:r w:rsidRPr="001F6D45">
            <w:rPr>
              <w:rFonts w:ascii="Calibri" w:eastAsia="Arial" w:hAnsi="Calibri" w:cs="Calibri"/>
              <w:b/>
            </w:rPr>
            <w:fldChar w:fldCharType="separate"/>
          </w:r>
          <w:r w:rsidRPr="001F6D45">
            <w:rPr>
              <w:rFonts w:ascii="Calibri" w:eastAsia="Arial" w:hAnsi="Calibri" w:cs="Calibri"/>
              <w:b/>
              <w:noProof/>
            </w:rPr>
            <w:t>18</w:t>
          </w:r>
          <w:r w:rsidRPr="001F6D45">
            <w:rPr>
              <w:rFonts w:ascii="Calibri" w:eastAsia="Arial" w:hAnsi="Calibri" w:cs="Calibri"/>
              <w:b/>
            </w:rPr>
            <w:fldChar w:fldCharType="end"/>
          </w:r>
          <w:r w:rsidRPr="001F6D45">
            <w:rPr>
              <w:rFonts w:ascii="Calibri" w:eastAsia="Arial" w:hAnsi="Calibri" w:cs="Calibri"/>
            </w:rPr>
            <w:t xml:space="preserve"> de </w:t>
          </w:r>
          <w:r w:rsidRPr="001F6D45">
            <w:rPr>
              <w:rFonts w:ascii="Calibri" w:eastAsia="Arial" w:hAnsi="Calibri" w:cs="Calibri"/>
              <w:b/>
            </w:rPr>
            <w:fldChar w:fldCharType="begin"/>
          </w:r>
          <w:r w:rsidRPr="001F6D45">
            <w:rPr>
              <w:rFonts w:ascii="Calibri" w:eastAsia="Arial" w:hAnsi="Calibri" w:cs="Calibri"/>
              <w:b/>
            </w:rPr>
            <w:instrText>NUMPAGES</w:instrText>
          </w:r>
          <w:r w:rsidRPr="001F6D45">
            <w:rPr>
              <w:rFonts w:ascii="Calibri" w:eastAsia="Arial" w:hAnsi="Calibri" w:cs="Calibri"/>
              <w:b/>
            </w:rPr>
            <w:fldChar w:fldCharType="separate"/>
          </w:r>
          <w:r w:rsidRPr="001F6D45">
            <w:rPr>
              <w:rFonts w:ascii="Calibri" w:eastAsia="Arial" w:hAnsi="Calibri" w:cs="Calibri"/>
              <w:b/>
              <w:noProof/>
            </w:rPr>
            <w:t>19</w:t>
          </w:r>
          <w:r w:rsidRPr="001F6D45">
            <w:rPr>
              <w:rFonts w:ascii="Calibri" w:eastAsia="Arial" w:hAnsi="Calibri" w:cs="Calibri"/>
              <w:b/>
            </w:rPr>
            <w:fldChar w:fldCharType="end"/>
          </w:r>
        </w:p>
      </w:tc>
    </w:tr>
  </w:tbl>
  <w:p w14:paraId="5EBF66D8" w14:textId="77777777" w:rsidR="00B9653B" w:rsidRDefault="00B965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FDC3" w14:textId="77777777" w:rsidR="008D2C18" w:rsidRDefault="008D2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99pt;height:95.25pt" o:bullet="t">
        <v:imagedata r:id="rId1" o:title="VIÑETA2"/>
      </v:shape>
    </w:pict>
  </w:numPicBullet>
  <w:abstractNum w:abstractNumId="0" w15:restartNumberingAfterBreak="0">
    <w:nsid w:val="109A1F57"/>
    <w:multiLevelType w:val="hybridMultilevel"/>
    <w:tmpl w:val="7B4C78CE"/>
    <w:lvl w:ilvl="0" w:tplc="0F28E516">
      <w:start w:val="1"/>
      <w:numFmt w:val="decimal"/>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500E88"/>
    <w:multiLevelType w:val="hybridMultilevel"/>
    <w:tmpl w:val="4F6A1052"/>
    <w:lvl w:ilvl="0" w:tplc="10087B14">
      <w:start w:val="1"/>
      <w:numFmt w:val="decimal"/>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06D1B31"/>
    <w:multiLevelType w:val="hybridMultilevel"/>
    <w:tmpl w:val="128E4F6E"/>
    <w:lvl w:ilvl="0" w:tplc="10087B1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C025C"/>
    <w:multiLevelType w:val="hybridMultilevel"/>
    <w:tmpl w:val="77765D12"/>
    <w:lvl w:ilvl="0" w:tplc="2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31EFC"/>
    <w:multiLevelType w:val="hybridMultilevel"/>
    <w:tmpl w:val="F4CE0274"/>
    <w:lvl w:ilvl="0" w:tplc="A16AD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E92C9D"/>
    <w:multiLevelType w:val="hybridMultilevel"/>
    <w:tmpl w:val="6FD00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3D2868"/>
    <w:multiLevelType w:val="hybridMultilevel"/>
    <w:tmpl w:val="9AF2E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63655F"/>
    <w:multiLevelType w:val="hybridMultilevel"/>
    <w:tmpl w:val="5C2C9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1514D8"/>
    <w:multiLevelType w:val="hybridMultilevel"/>
    <w:tmpl w:val="A1EC7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1551A"/>
    <w:multiLevelType w:val="hybridMultilevel"/>
    <w:tmpl w:val="874A9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F264F0F"/>
    <w:multiLevelType w:val="hybridMultilevel"/>
    <w:tmpl w:val="96C6CB88"/>
    <w:lvl w:ilvl="0" w:tplc="8ACE60E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127CE9"/>
    <w:multiLevelType w:val="hybridMultilevel"/>
    <w:tmpl w:val="DAD25F4C"/>
    <w:lvl w:ilvl="0" w:tplc="ED509C84">
      <w:start w:val="3"/>
      <w:numFmt w:val="bullet"/>
      <w:lvlText w:val="•"/>
      <w:lvlJc w:val="left"/>
      <w:pPr>
        <w:ind w:left="1065" w:hanging="705"/>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10"/>
  </w:num>
  <w:num w:numId="6">
    <w:abstractNumId w:val="4"/>
  </w:num>
  <w:num w:numId="7">
    <w:abstractNumId w:val="8"/>
  </w:num>
  <w:num w:numId="8">
    <w:abstractNumId w:val="6"/>
  </w:num>
  <w:num w:numId="9">
    <w:abstractNumId w:val="2"/>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3B"/>
    <w:rsid w:val="0001409E"/>
    <w:rsid w:val="0005533E"/>
    <w:rsid w:val="00084094"/>
    <w:rsid w:val="000B4BA8"/>
    <w:rsid w:val="00123C16"/>
    <w:rsid w:val="0014791F"/>
    <w:rsid w:val="00284776"/>
    <w:rsid w:val="00285187"/>
    <w:rsid w:val="00291800"/>
    <w:rsid w:val="002B4BF5"/>
    <w:rsid w:val="002D2618"/>
    <w:rsid w:val="002E6E88"/>
    <w:rsid w:val="002F7375"/>
    <w:rsid w:val="003B378B"/>
    <w:rsid w:val="003D1AE3"/>
    <w:rsid w:val="003F486C"/>
    <w:rsid w:val="003F4E63"/>
    <w:rsid w:val="00461482"/>
    <w:rsid w:val="00475255"/>
    <w:rsid w:val="004767D5"/>
    <w:rsid w:val="004D482E"/>
    <w:rsid w:val="00515653"/>
    <w:rsid w:val="00526A49"/>
    <w:rsid w:val="005413B0"/>
    <w:rsid w:val="0056288E"/>
    <w:rsid w:val="00582546"/>
    <w:rsid w:val="005A724B"/>
    <w:rsid w:val="005D2C74"/>
    <w:rsid w:val="006170D2"/>
    <w:rsid w:val="006248F0"/>
    <w:rsid w:val="006B2FC5"/>
    <w:rsid w:val="006F10EE"/>
    <w:rsid w:val="00706AED"/>
    <w:rsid w:val="0071576F"/>
    <w:rsid w:val="007347A6"/>
    <w:rsid w:val="00764891"/>
    <w:rsid w:val="007B5F6F"/>
    <w:rsid w:val="007D3BE4"/>
    <w:rsid w:val="007E44E2"/>
    <w:rsid w:val="008121E7"/>
    <w:rsid w:val="0083497A"/>
    <w:rsid w:val="0083560F"/>
    <w:rsid w:val="0089584F"/>
    <w:rsid w:val="008C6614"/>
    <w:rsid w:val="008D2C18"/>
    <w:rsid w:val="009064A3"/>
    <w:rsid w:val="00922A31"/>
    <w:rsid w:val="009B7BEC"/>
    <w:rsid w:val="009C713A"/>
    <w:rsid w:val="00A166EA"/>
    <w:rsid w:val="00A6414A"/>
    <w:rsid w:val="00A738AE"/>
    <w:rsid w:val="00AA6943"/>
    <w:rsid w:val="00AB2FAA"/>
    <w:rsid w:val="00AD5750"/>
    <w:rsid w:val="00AD6B67"/>
    <w:rsid w:val="00B579F4"/>
    <w:rsid w:val="00B95F28"/>
    <w:rsid w:val="00B9653B"/>
    <w:rsid w:val="00BB2F64"/>
    <w:rsid w:val="00BC5F6C"/>
    <w:rsid w:val="00BC7C15"/>
    <w:rsid w:val="00D43B65"/>
    <w:rsid w:val="00D90C5F"/>
    <w:rsid w:val="00EC4B9F"/>
    <w:rsid w:val="00F01DD0"/>
    <w:rsid w:val="00F60D6B"/>
    <w:rsid w:val="00FA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C028"/>
  <w15:docId w15:val="{B0CECC92-C970-4120-AC57-3721F00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50"/>
  </w:style>
  <w:style w:type="paragraph" w:styleId="Ttulo1">
    <w:name w:val="heading 1"/>
    <w:basedOn w:val="Normal"/>
    <w:next w:val="Normal"/>
    <w:link w:val="Ttulo1Car"/>
    <w:uiPriority w:val="9"/>
    <w:qFormat/>
    <w:rsid w:val="00526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53B"/>
  </w:style>
  <w:style w:type="paragraph" w:styleId="Piedepgina">
    <w:name w:val="footer"/>
    <w:basedOn w:val="Normal"/>
    <w:link w:val="PiedepginaCar"/>
    <w:uiPriority w:val="99"/>
    <w:unhideWhenUsed/>
    <w:rsid w:val="00B96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3B"/>
  </w:style>
  <w:style w:type="paragraph" w:styleId="Textodeglobo">
    <w:name w:val="Balloon Text"/>
    <w:basedOn w:val="Normal"/>
    <w:link w:val="TextodegloboCar"/>
    <w:uiPriority w:val="99"/>
    <w:semiHidden/>
    <w:unhideWhenUsed/>
    <w:rsid w:val="00B96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53B"/>
    <w:rPr>
      <w:rFonts w:ascii="Tahoma" w:hAnsi="Tahoma" w:cs="Tahoma"/>
      <w:sz w:val="16"/>
      <w:szCs w:val="16"/>
    </w:rPr>
  </w:style>
  <w:style w:type="paragraph" w:styleId="Sinespaciado">
    <w:name w:val="No Spacing"/>
    <w:uiPriority w:val="1"/>
    <w:qFormat/>
    <w:rsid w:val="006B2FC5"/>
    <w:pPr>
      <w:spacing w:after="0" w:line="240" w:lineRule="auto"/>
    </w:pPr>
  </w:style>
  <w:style w:type="paragraph" w:customStyle="1" w:styleId="Default">
    <w:name w:val="Default"/>
    <w:rsid w:val="006B2FC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B2FC5"/>
    <w:pPr>
      <w:ind w:left="720"/>
      <w:contextualSpacing/>
    </w:pPr>
  </w:style>
  <w:style w:type="table" w:styleId="Tablaconcuadrcula">
    <w:name w:val="Table Grid"/>
    <w:basedOn w:val="Tablanormal"/>
    <w:uiPriority w:val="59"/>
    <w:rsid w:val="0070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26A49"/>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526A49"/>
    <w:pPr>
      <w:spacing w:line="259" w:lineRule="auto"/>
      <w:outlineLvl w:val="9"/>
    </w:pPr>
    <w:rPr>
      <w:lang w:eastAsia="es-CO"/>
    </w:rPr>
  </w:style>
  <w:style w:type="paragraph" w:styleId="TDC1">
    <w:name w:val="toc 1"/>
    <w:basedOn w:val="Normal"/>
    <w:next w:val="Normal"/>
    <w:autoRedefine/>
    <w:uiPriority w:val="39"/>
    <w:unhideWhenUsed/>
    <w:rsid w:val="00526A49"/>
    <w:pPr>
      <w:spacing w:after="100"/>
    </w:pPr>
  </w:style>
  <w:style w:type="character" w:styleId="Hipervnculo">
    <w:name w:val="Hyperlink"/>
    <w:basedOn w:val="Fuentedeprrafopredeter"/>
    <w:uiPriority w:val="99"/>
    <w:unhideWhenUsed/>
    <w:rsid w:val="00526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32">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643699534">
      <w:bodyDiv w:val="1"/>
      <w:marLeft w:val="0"/>
      <w:marRight w:val="0"/>
      <w:marTop w:val="0"/>
      <w:marBottom w:val="0"/>
      <w:divBdr>
        <w:top w:val="none" w:sz="0" w:space="0" w:color="auto"/>
        <w:left w:val="none" w:sz="0" w:space="0" w:color="auto"/>
        <w:bottom w:val="none" w:sz="0" w:space="0" w:color="auto"/>
        <w:right w:val="none" w:sz="0" w:space="0" w:color="auto"/>
      </w:divBdr>
    </w:div>
    <w:div w:id="663973936">
      <w:bodyDiv w:val="1"/>
      <w:marLeft w:val="0"/>
      <w:marRight w:val="0"/>
      <w:marTop w:val="0"/>
      <w:marBottom w:val="0"/>
      <w:divBdr>
        <w:top w:val="none" w:sz="0" w:space="0" w:color="auto"/>
        <w:left w:val="none" w:sz="0" w:space="0" w:color="auto"/>
        <w:bottom w:val="none" w:sz="0" w:space="0" w:color="auto"/>
        <w:right w:val="none" w:sz="0" w:space="0" w:color="auto"/>
      </w:divBdr>
    </w:div>
    <w:div w:id="745104618">
      <w:bodyDiv w:val="1"/>
      <w:marLeft w:val="0"/>
      <w:marRight w:val="0"/>
      <w:marTop w:val="0"/>
      <w:marBottom w:val="0"/>
      <w:divBdr>
        <w:top w:val="none" w:sz="0" w:space="0" w:color="auto"/>
        <w:left w:val="none" w:sz="0" w:space="0" w:color="auto"/>
        <w:bottom w:val="none" w:sz="0" w:space="0" w:color="auto"/>
        <w:right w:val="none" w:sz="0" w:space="0" w:color="auto"/>
      </w:divBdr>
    </w:div>
    <w:div w:id="750590855">
      <w:bodyDiv w:val="1"/>
      <w:marLeft w:val="0"/>
      <w:marRight w:val="0"/>
      <w:marTop w:val="0"/>
      <w:marBottom w:val="0"/>
      <w:divBdr>
        <w:top w:val="none" w:sz="0" w:space="0" w:color="auto"/>
        <w:left w:val="none" w:sz="0" w:space="0" w:color="auto"/>
        <w:bottom w:val="none" w:sz="0" w:space="0" w:color="auto"/>
        <w:right w:val="none" w:sz="0" w:space="0" w:color="auto"/>
      </w:divBdr>
    </w:div>
    <w:div w:id="907543868">
      <w:bodyDiv w:val="1"/>
      <w:marLeft w:val="0"/>
      <w:marRight w:val="0"/>
      <w:marTop w:val="0"/>
      <w:marBottom w:val="0"/>
      <w:divBdr>
        <w:top w:val="none" w:sz="0" w:space="0" w:color="auto"/>
        <w:left w:val="none" w:sz="0" w:space="0" w:color="auto"/>
        <w:bottom w:val="none" w:sz="0" w:space="0" w:color="auto"/>
        <w:right w:val="none" w:sz="0" w:space="0" w:color="auto"/>
      </w:divBdr>
    </w:div>
    <w:div w:id="1251357760">
      <w:bodyDiv w:val="1"/>
      <w:marLeft w:val="0"/>
      <w:marRight w:val="0"/>
      <w:marTop w:val="0"/>
      <w:marBottom w:val="0"/>
      <w:divBdr>
        <w:top w:val="none" w:sz="0" w:space="0" w:color="auto"/>
        <w:left w:val="none" w:sz="0" w:space="0" w:color="auto"/>
        <w:bottom w:val="none" w:sz="0" w:space="0" w:color="auto"/>
        <w:right w:val="none" w:sz="0" w:space="0" w:color="auto"/>
      </w:divBdr>
    </w:div>
    <w:div w:id="1301232173">
      <w:bodyDiv w:val="1"/>
      <w:marLeft w:val="0"/>
      <w:marRight w:val="0"/>
      <w:marTop w:val="0"/>
      <w:marBottom w:val="0"/>
      <w:divBdr>
        <w:top w:val="none" w:sz="0" w:space="0" w:color="auto"/>
        <w:left w:val="none" w:sz="0" w:space="0" w:color="auto"/>
        <w:bottom w:val="none" w:sz="0" w:space="0" w:color="auto"/>
        <w:right w:val="none" w:sz="0" w:space="0" w:color="auto"/>
      </w:divBdr>
    </w:div>
    <w:div w:id="1797332039">
      <w:bodyDiv w:val="1"/>
      <w:marLeft w:val="0"/>
      <w:marRight w:val="0"/>
      <w:marTop w:val="0"/>
      <w:marBottom w:val="0"/>
      <w:divBdr>
        <w:top w:val="none" w:sz="0" w:space="0" w:color="auto"/>
        <w:left w:val="none" w:sz="0" w:space="0" w:color="auto"/>
        <w:bottom w:val="none" w:sz="0" w:space="0" w:color="auto"/>
        <w:right w:val="none" w:sz="0" w:space="0" w:color="auto"/>
      </w:divBdr>
    </w:div>
    <w:div w:id="18236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6A08-A3CC-42B9-936E-DA81A96A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ghñl</dc:creator>
  <cp:lastModifiedBy>Maganny Jaramillo</cp:lastModifiedBy>
  <cp:revision>14</cp:revision>
  <dcterms:created xsi:type="dcterms:W3CDTF">2021-02-25T21:11:00Z</dcterms:created>
  <dcterms:modified xsi:type="dcterms:W3CDTF">2021-08-18T04:11:00Z</dcterms:modified>
</cp:coreProperties>
</file>